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641962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№Н-Д/</w:t>
      </w:r>
      <w:r w:rsidR="00915E77">
        <w:rPr>
          <w:rFonts w:ascii="Times New Roman" w:hAnsi="Times New Roman" w:cs="Times New Roman"/>
          <w:b/>
          <w:color w:val="000000" w:themeColor="text1"/>
        </w:rPr>
        <w:t>____</w:t>
      </w:r>
      <w:r>
        <w:rPr>
          <w:rFonts w:ascii="Times New Roman" w:hAnsi="Times New Roman" w:cs="Times New Roman"/>
          <w:b/>
          <w:color w:val="000000" w:themeColor="text1"/>
        </w:rPr>
        <w:t>/2019</w:t>
      </w:r>
      <w:bookmarkStart w:id="0" w:name="_GoBack"/>
      <w:bookmarkEnd w:id="0"/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3249D" w:rsidRDefault="004866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  <w:t xml:space="preserve">     </w:t>
      </w:r>
      <w:r w:rsidR="00915E77">
        <w:rPr>
          <w:rFonts w:ascii="Times New Roman" w:hAnsi="Times New Roman" w:cs="Times New Roman"/>
          <w:b/>
          <w:sz w:val="22"/>
          <w:szCs w:val="22"/>
        </w:rPr>
        <w:t>«</w:t>
      </w:r>
      <w:r w:rsidR="00915E77">
        <w:rPr>
          <w:rFonts w:ascii="Times New Roman" w:hAnsi="Times New Roman" w:cs="Times New Roman"/>
        </w:rPr>
        <w:t>__</w:t>
      </w:r>
      <w:r w:rsidR="00915E77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15E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915E77">
        <w:rPr>
          <w:rFonts w:ascii="Times New Roman" w:hAnsi="Times New Roman" w:cs="Times New Roman"/>
        </w:rPr>
        <w:t xml:space="preserve"> 20__ г.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641F58" w:rsidRPr="004866BB" w:rsidRDefault="00641F58" w:rsidP="00641F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действующего на основании доверенности от 17.10.2018 г. № 06-03/8н, с одной стороны, </w:t>
      </w:r>
    </w:p>
    <w:p w:rsidR="00641F58" w:rsidRDefault="00641F58" w:rsidP="00641F58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641F58" w:rsidRDefault="00641F58" w:rsidP="00641F5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 организации, фамилия, имя, отчество физического лица)</w:t>
      </w:r>
    </w:p>
    <w:p w:rsidR="00641F58" w:rsidRDefault="00641F58" w:rsidP="00641F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641F58" w:rsidRDefault="00641F58" w:rsidP="00641F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641F58" w:rsidRDefault="00641F58" w:rsidP="00641F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641F58" w:rsidRDefault="00641F58" w:rsidP="00641F58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отчество, паспортные данные - в случае заключения договора физическим лицом),</w:t>
      </w:r>
    </w:p>
    <w:p w:rsidR="00641F58" w:rsidRDefault="00641F58" w:rsidP="00641F58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641F58" w:rsidRDefault="00641F58" w:rsidP="00641F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41F58" w:rsidRDefault="00641F58" w:rsidP="00641F5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641F58" w:rsidRDefault="00641F58" w:rsidP="00641F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Pr="00197F4C">
        <w:rPr>
          <w:rFonts w:ascii="Times New Roman" w:hAnsi="Times New Roman" w:cs="Times New Roman"/>
          <w:b/>
          <w:sz w:val="22"/>
          <w:szCs w:val="22"/>
        </w:rPr>
        <w:t>«стороны»,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Объем твердых коммунальных отходов, места</w:t>
      </w:r>
      <w:r w:rsidR="00805686">
        <w:rPr>
          <w:rFonts w:ascii="Times New Roman" w:hAnsi="Times New Roman" w:cs="Times New Roman"/>
        </w:rPr>
        <w:t xml:space="preserve"> (площадки)</w:t>
      </w:r>
      <w:r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FB134A">
        <w:rPr>
          <w:rFonts w:ascii="Times New Roman" w:hAnsi="Times New Roman" w:cs="Times New Roman"/>
        </w:rPr>
        <w:t>–</w:t>
      </w:r>
    </w:p>
    <w:p w:rsidR="00FB134A" w:rsidRDefault="00FB134A" w:rsidP="00FB134A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контейнеры, расположенные на контейнерной площадке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623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</w:t>
      </w:r>
      <w:r w:rsidR="00FB134A">
        <w:rPr>
          <w:rFonts w:ascii="Times New Roman" w:hAnsi="Times New Roman" w:cs="Times New Roman"/>
          <w:sz w:val="24"/>
          <w:szCs w:val="24"/>
        </w:rPr>
        <w:t>–</w:t>
      </w:r>
      <w:r w:rsidRPr="00BD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4A" w:rsidRPr="00BD0623" w:rsidRDefault="00FB134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805686" w:rsidRDefault="00915E77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805686">
        <w:rPr>
          <w:rFonts w:ascii="Times New Roman" w:hAnsi="Times New Roman" w:cs="Times New Roman"/>
        </w:rPr>
        <w:t>, который составляет:</w:t>
      </w:r>
    </w:p>
    <w:p w:rsidR="00805686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 период с 01.01.2019 г. по 30.06.2019 г. – </w:t>
      </w:r>
      <w:r w:rsidR="00682FD6">
        <w:rPr>
          <w:rFonts w:ascii="Times New Roman" w:hAnsi="Times New Roman" w:cs="Times New Roman"/>
        </w:rPr>
        <w:t>659,38</w:t>
      </w:r>
      <w:r>
        <w:rPr>
          <w:rFonts w:ascii="Times New Roman" w:hAnsi="Times New Roman" w:cs="Times New Roman"/>
        </w:rPr>
        <w:t xml:space="preserve"> рубл</w:t>
      </w:r>
      <w:r w:rsidR="00682FD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Шестьсот пятьдесят девять рублей 38 копеек</w:t>
      </w:r>
      <w:r>
        <w:rPr>
          <w:rFonts w:ascii="Times New Roman" w:hAnsi="Times New Roman" w:cs="Times New Roman"/>
        </w:rPr>
        <w:t>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</w:t>
      </w:r>
      <w:r w:rsidR="00682FD6">
        <w:rPr>
          <w:rFonts w:ascii="Times New Roman" w:hAnsi="Times New Roman" w:cs="Times New Roman"/>
        </w:rPr>
        <w:t>109,9</w:t>
      </w:r>
      <w:r>
        <w:rPr>
          <w:rFonts w:ascii="Times New Roman" w:hAnsi="Times New Roman" w:cs="Times New Roman"/>
        </w:rPr>
        <w:t xml:space="preserve"> рублей (</w:t>
      </w:r>
      <w:r w:rsidR="00682FD6">
        <w:rPr>
          <w:rFonts w:ascii="Times New Roman" w:hAnsi="Times New Roman" w:cs="Times New Roman"/>
        </w:rPr>
        <w:t>Сто девять рублей девяносто копеек</w:t>
      </w:r>
      <w:r>
        <w:rPr>
          <w:rFonts w:ascii="Times New Roman" w:hAnsi="Times New Roman" w:cs="Times New Roman"/>
        </w:rPr>
        <w:t>);</w:t>
      </w:r>
    </w:p>
    <w:p w:rsidR="00A3249D" w:rsidRPr="00473212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 xml:space="preserve">- в период с 01.07.2019 г. по 31.12.2019 г. – </w:t>
      </w:r>
      <w:r w:rsidR="00682FD6">
        <w:rPr>
          <w:rFonts w:ascii="Times New Roman" w:hAnsi="Times New Roman" w:cs="Times New Roman"/>
        </w:rPr>
        <w:t>667,03 рублей</w:t>
      </w:r>
      <w:r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Шестьсот шестьдесят семь рублей три копейки</w:t>
      </w:r>
      <w:r>
        <w:rPr>
          <w:rFonts w:ascii="Times New Roman" w:hAnsi="Times New Roman" w:cs="Times New Roman"/>
        </w:rPr>
        <w:t>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</w:t>
      </w:r>
      <w:r w:rsidR="00682FD6">
        <w:rPr>
          <w:rFonts w:ascii="Times New Roman" w:hAnsi="Times New Roman" w:cs="Times New Roman"/>
        </w:rPr>
        <w:t>111,17</w:t>
      </w:r>
      <w:r w:rsidR="00A10586">
        <w:rPr>
          <w:rFonts w:ascii="Times New Roman" w:hAnsi="Times New Roman" w:cs="Times New Roman"/>
        </w:rPr>
        <w:t xml:space="preserve"> рубл</w:t>
      </w:r>
      <w:r w:rsidR="00682FD6">
        <w:rPr>
          <w:rFonts w:ascii="Times New Roman" w:hAnsi="Times New Roman" w:cs="Times New Roman"/>
        </w:rPr>
        <w:t>ей</w:t>
      </w:r>
      <w:r w:rsidR="00A10586"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Сто одиннадцать рублей семнадцать копеек</w:t>
      </w:r>
      <w:r w:rsidR="00A10586">
        <w:rPr>
          <w:rFonts w:ascii="Times New Roman" w:hAnsi="Times New Roman" w:cs="Times New Roman"/>
        </w:rPr>
        <w:t>)</w:t>
      </w:r>
      <w:r w:rsidR="00915E77">
        <w:rPr>
          <w:rFonts w:ascii="Times New Roman" w:hAnsi="Times New Roman" w:cs="Times New Roman"/>
        </w:rPr>
        <w:t xml:space="preserve">. Единый тариф на услугу регионального оператора </w:t>
      </w:r>
      <w:r w:rsidR="00915E77" w:rsidRPr="00C22458">
        <w:rPr>
          <w:rFonts w:ascii="Times New Roman" w:hAnsi="Times New Roman" w:cs="Times New Roman"/>
        </w:rPr>
        <w:t>доступен на официальном са</w:t>
      </w:r>
      <w:r w:rsidR="004866BB">
        <w:rPr>
          <w:rFonts w:ascii="Times New Roman" w:hAnsi="Times New Roman" w:cs="Times New Roman"/>
        </w:rPr>
        <w:t xml:space="preserve">йте Региональной службы по 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5D7B18">
        <w:rPr>
          <w:rStyle w:val="af"/>
          <w:rFonts w:ascii="Times New Roman" w:hAnsi="Times New Roman" w:cs="Times New Roman"/>
        </w:rPr>
        <w:t>http://</w:t>
      </w:r>
      <w:r w:rsidR="005D7B18">
        <w:rPr>
          <w:rStyle w:val="af"/>
          <w:rFonts w:ascii="Times New Roman" w:hAnsi="Times New Roman" w:cs="Times New Roman"/>
          <w:lang w:val="en-US"/>
        </w:rPr>
        <w:t>www</w:t>
      </w:r>
      <w:r w:rsidR="005D7B18" w:rsidRPr="004866BB">
        <w:rPr>
          <w:rStyle w:val="af"/>
          <w:rFonts w:ascii="Times New Roman" w:hAnsi="Times New Roman" w:cs="Times New Roman"/>
        </w:rPr>
        <w:t>.</w:t>
      </w:r>
      <w:r w:rsidR="005D7B18">
        <w:rPr>
          <w:rStyle w:val="af"/>
          <w:rFonts w:ascii="Times New Roman" w:hAnsi="Times New Roman" w:cs="Times New Roman"/>
          <w:lang w:val="en-US"/>
        </w:rPr>
        <w:t>rstno</w:t>
      </w:r>
      <w:r w:rsidR="005D7B18" w:rsidRPr="004866BB">
        <w:rPr>
          <w:rStyle w:val="af"/>
          <w:rFonts w:ascii="Times New Roman" w:hAnsi="Times New Roman" w:cs="Times New Roman"/>
        </w:rPr>
        <w:t>.</w:t>
      </w:r>
      <w:r w:rsidR="005D7B18">
        <w:rPr>
          <w:rStyle w:val="af"/>
          <w:rFonts w:ascii="Times New Roman" w:hAnsi="Times New Roman" w:cs="Times New Roman"/>
          <w:lang w:val="en-US"/>
        </w:rPr>
        <w:t>ru</w:t>
      </w:r>
      <w:r w:rsidR="00915E77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0D75BB">
        <w:rPr>
          <w:rFonts w:ascii="Times New Roman" w:hAnsi="Times New Roman" w:cs="Times New Roman"/>
        </w:rPr>
        <w:t>р</w:t>
      </w:r>
      <w:r w:rsidR="004866BB">
        <w:rPr>
          <w:rFonts w:ascii="Times New Roman" w:hAnsi="Times New Roman" w:cs="Times New Roman"/>
        </w:rPr>
        <w:t xml:space="preserve">ешение Региональной службы по </w:t>
      </w:r>
      <w:r w:rsidR="00915E77" w:rsidRPr="00C22458">
        <w:rPr>
          <w:rFonts w:ascii="Times New Roman" w:hAnsi="Times New Roman" w:cs="Times New Roman"/>
        </w:rPr>
        <w:t xml:space="preserve">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области).</w:t>
      </w:r>
    </w:p>
    <w:p w:rsidR="00473212" w:rsidRPr="000D75BB" w:rsidRDefault="00473212" w:rsidP="0047321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FB134A">
        <w:rPr>
          <w:rFonts w:ascii="Times New Roman" w:hAnsi="Times New Roman" w:cs="Times New Roman"/>
          <w:highlight w:val="yellow"/>
        </w:rPr>
        <w:t>Стоимость услуг</w:t>
      </w:r>
      <w:r w:rsidR="00A10586" w:rsidRPr="00FB134A">
        <w:rPr>
          <w:rFonts w:ascii="Times New Roman" w:hAnsi="Times New Roman" w:cs="Times New Roman"/>
          <w:highlight w:val="yellow"/>
        </w:rPr>
        <w:t xml:space="preserve"> по настоящему договору</w:t>
      </w:r>
      <w:r w:rsidRPr="00FB134A">
        <w:rPr>
          <w:rFonts w:ascii="Times New Roman" w:hAnsi="Times New Roman" w:cs="Times New Roman"/>
          <w:highlight w:val="yellow"/>
        </w:rPr>
        <w:t xml:space="preserve"> по обращению с твердыми коммунальными отходами в год</w:t>
      </w:r>
      <w:r w:rsidR="00A10586" w:rsidRPr="00FB134A">
        <w:rPr>
          <w:rFonts w:ascii="Times New Roman" w:hAnsi="Times New Roman" w:cs="Times New Roman"/>
          <w:highlight w:val="yellow"/>
        </w:rPr>
        <w:t xml:space="preserve"> составляет</w:t>
      </w:r>
      <w:r w:rsidRPr="00FB134A">
        <w:rPr>
          <w:rFonts w:ascii="Times New Roman" w:hAnsi="Times New Roman" w:cs="Times New Roman"/>
          <w:highlight w:val="yellow"/>
        </w:rPr>
        <w:t>: ____________.</w:t>
      </w:r>
    </w:p>
    <w:p w:rsidR="00813B62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813B62" w:rsidRPr="00473212" w:rsidRDefault="00813B62" w:rsidP="00813B62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итогам месяца, в котором была оказана услуга по обращению с твердыми коммунальными отходами, Региональный оператор</w:t>
      </w:r>
      <w:r w:rsidRPr="000D75BB">
        <w:rPr>
          <w:rFonts w:ascii="Times New Roman" w:hAnsi="Times New Roman" w:cs="Times New Roman"/>
        </w:rPr>
        <w:t xml:space="preserve"> в течение 5 (Пяти) рабочих дней </w:t>
      </w:r>
      <w:r>
        <w:rPr>
          <w:rFonts w:ascii="Times New Roman" w:hAnsi="Times New Roman" w:cs="Times New Roman"/>
        </w:rPr>
        <w:t xml:space="preserve">направляет Потребителю (за исключением потребителей в многоквартирных домах и жилых домах) </w:t>
      </w:r>
      <w:r w:rsidRPr="000D75BB">
        <w:rPr>
          <w:rFonts w:ascii="Times New Roman" w:hAnsi="Times New Roman" w:cs="Times New Roman"/>
        </w:rPr>
        <w:t xml:space="preserve"> акт оказанных услуг, счет, счет-фактуру.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  <w:szCs w:val="24"/>
        </w:rPr>
        <w:t xml:space="preserve">         </w:t>
      </w:r>
      <w:r w:rsidRPr="000D75BB">
        <w:rPr>
          <w:rFonts w:ascii="Times New Roman" w:hAnsi="Times New Roman" w:cs="Times New Roman"/>
          <w:szCs w:val="24"/>
        </w:rPr>
        <w:t>В случае несогласия с</w:t>
      </w:r>
      <w:r>
        <w:rPr>
          <w:rFonts w:ascii="Times New Roman" w:hAnsi="Times New Roman" w:cs="Times New Roman"/>
          <w:szCs w:val="24"/>
        </w:rPr>
        <w:t xml:space="preserve"> предоставленным актом, Потребитель</w:t>
      </w:r>
      <w:r w:rsidRPr="000D75BB">
        <w:rPr>
          <w:rFonts w:ascii="Times New Roman" w:hAnsi="Times New Roman" w:cs="Times New Roman"/>
          <w:szCs w:val="24"/>
        </w:rPr>
        <w:t xml:space="preserve"> представляет мотивированный отказ </w:t>
      </w:r>
      <w:r w:rsidR="007759B6">
        <w:rPr>
          <w:rFonts w:ascii="Times New Roman" w:hAnsi="Times New Roman" w:cs="Times New Roman"/>
          <w:szCs w:val="24"/>
        </w:rPr>
        <w:t xml:space="preserve">от подписания акта </w:t>
      </w:r>
      <w:r w:rsidRPr="000D75BB">
        <w:rPr>
          <w:rFonts w:ascii="Times New Roman" w:hAnsi="Times New Roman" w:cs="Times New Roman"/>
          <w:szCs w:val="24"/>
        </w:rPr>
        <w:t>в течени</w:t>
      </w:r>
      <w:r>
        <w:rPr>
          <w:rFonts w:ascii="Times New Roman" w:hAnsi="Times New Roman" w:cs="Times New Roman"/>
          <w:szCs w:val="24"/>
        </w:rPr>
        <w:t>е</w:t>
      </w:r>
      <w:r w:rsidRPr="000D75BB">
        <w:rPr>
          <w:rFonts w:ascii="Times New Roman" w:hAnsi="Times New Roman" w:cs="Times New Roman"/>
          <w:szCs w:val="24"/>
        </w:rPr>
        <w:t xml:space="preserve">  5 (пяти) рабочих дней со дня получения акта. В</w:t>
      </w:r>
      <w:r>
        <w:rPr>
          <w:rFonts w:ascii="Times New Roman" w:hAnsi="Times New Roman" w:cs="Times New Roman"/>
          <w:szCs w:val="24"/>
        </w:rPr>
        <w:t xml:space="preserve"> случае неполучения региональным оператором</w:t>
      </w:r>
      <w:r w:rsidRPr="000D75BB">
        <w:rPr>
          <w:rFonts w:ascii="Times New Roman" w:hAnsi="Times New Roman" w:cs="Times New Roman"/>
          <w:szCs w:val="24"/>
        </w:rPr>
        <w:t xml:space="preserve"> в указанный в настоящем пун</w:t>
      </w:r>
      <w:r>
        <w:rPr>
          <w:rFonts w:ascii="Times New Roman" w:hAnsi="Times New Roman" w:cs="Times New Roman"/>
          <w:szCs w:val="24"/>
        </w:rPr>
        <w:t>кте срок подписанного Потребителем</w:t>
      </w:r>
      <w:r w:rsidRPr="000D75BB">
        <w:rPr>
          <w:rFonts w:ascii="Times New Roman" w:hAnsi="Times New Roman" w:cs="Times New Roman"/>
          <w:szCs w:val="24"/>
        </w:rPr>
        <w:t xml:space="preserve"> акта, либо письменного мотивированного отказа от подписания акта, услуги считаются оказанными качественно и в срок, и </w:t>
      </w:r>
      <w:r>
        <w:rPr>
          <w:rFonts w:ascii="Times New Roman" w:hAnsi="Times New Roman" w:cs="Times New Roman"/>
          <w:szCs w:val="24"/>
        </w:rPr>
        <w:t>признаются принятыми Потребителем</w:t>
      </w:r>
      <w:r w:rsidRPr="000D75BB">
        <w:rPr>
          <w:rFonts w:ascii="Times New Roman" w:hAnsi="Times New Roman" w:cs="Times New Roman"/>
          <w:szCs w:val="24"/>
        </w:rPr>
        <w:t>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A3249D" w:rsidRDefault="00915E77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A3249D" w:rsidRDefault="00915E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D75BB" w:rsidRDefault="000D75B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2067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CE78D9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CE78D9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</w:t>
      </w:r>
      <w:r>
        <w:rPr>
          <w:rFonts w:ascii="Times New Roman" w:hAnsi="Times New Roman" w:cs="Times New Roman"/>
        </w:rPr>
        <w:lastRenderedPageBreak/>
        <w:t>для рассмотрения обращений граждан;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своевременному </w:t>
      </w:r>
      <w:r w:rsidRPr="00AB0AF5">
        <w:rPr>
          <w:rFonts w:ascii="Times New Roman" w:hAnsi="Times New Roman" w:cs="Times New Roman"/>
        </w:rPr>
        <w:t xml:space="preserve">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8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C22458">
        <w:rPr>
          <w:rFonts w:ascii="Times New Roman" w:hAnsi="Times New Roman" w:cs="Times New Roman"/>
        </w:rPr>
        <w:t>обеспечить беспрепятственный проезд мусоровозов/бункеровозов</w:t>
      </w:r>
      <w:r w:rsidRPr="00C22458">
        <w:rPr>
          <w:rFonts w:ascii="Times New Roman" w:hAnsi="Times New Roman" w:cs="Times New Roman"/>
        </w:rPr>
        <w:br/>
        <w:t>к к</w:t>
      </w:r>
      <w:r w:rsidR="009271C6">
        <w:rPr>
          <w:rFonts w:ascii="Times New Roman" w:hAnsi="Times New Roman" w:cs="Times New Roman"/>
        </w:rPr>
        <w:t>онтейнерным/бункерным площадкам;</w:t>
      </w:r>
    </w:p>
    <w:p w:rsidR="009271C6" w:rsidRPr="00253C6C" w:rsidRDefault="009271C6" w:rsidP="00BD0623">
      <w:pPr>
        <w:ind w:left="33" w:right="52" w:firstLine="393"/>
      </w:pPr>
      <w:r w:rsidRPr="00253C6C">
        <w:t xml:space="preserve">и) иметь паспорт отходов </w:t>
      </w:r>
      <w:r w:rsidRPr="00253C6C">
        <w:rPr>
          <w:lang w:val="en-US"/>
        </w:rPr>
        <w:t>I</w:t>
      </w:r>
      <w:r w:rsidRPr="00253C6C">
        <w:t>-</w:t>
      </w:r>
      <w:r w:rsidRPr="00253C6C">
        <w:rPr>
          <w:lang w:val="en-US"/>
        </w:rPr>
        <w:t>IV</w:t>
      </w:r>
      <w:r w:rsidRPr="00253C6C">
        <w:t xml:space="preserve"> классов опасности.</w:t>
      </w:r>
    </w:p>
    <w:p w:rsidR="009271C6" w:rsidRPr="00C22458" w:rsidRDefault="009271C6">
      <w:pPr>
        <w:pStyle w:val="ConsPlusNormal"/>
        <w:tabs>
          <w:tab w:val="left" w:pos="960"/>
        </w:tabs>
        <w:spacing w:after="80"/>
        <w:ind w:firstLine="540"/>
        <w:jc w:val="both"/>
      </w:pP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 w:rsidP="00BD0623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915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A3249D" w:rsidRPr="00FB134A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FB134A" w:rsidRDefault="00FB134A" w:rsidP="00FB134A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>расчетным путем, исходя из нормативов накопления твердых коммунальных отходов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>
        <w:rPr>
          <w:rFonts w:ascii="Times New Roman" w:hAnsi="Times New Roman" w:cs="Times New Roman"/>
        </w:rPr>
        <w:lastRenderedPageBreak/>
        <w:t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Default="00A3249D" w:rsidP="005A5D41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Сторона должна также без промедления, не позднее 24 часов с момента прекращения </w:t>
      </w:r>
      <w:r>
        <w:rPr>
          <w:rFonts w:ascii="Times New Roman" w:hAnsi="Times New Roman" w:cs="Times New Roman"/>
        </w:rPr>
        <w:lastRenderedPageBreak/>
        <w:t>обстоятельств непреодолимой силы, известить об этом другую сторону.</w:t>
      </w:r>
    </w:p>
    <w:p w:rsidR="00A3249D" w:rsidRDefault="00A3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один год с даты начала оказания услуг.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365663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365663" w:rsidRDefault="00365663" w:rsidP="00FB134A">
      <w:pPr>
        <w:pStyle w:val="ConsPlusNormal"/>
        <w:tabs>
          <w:tab w:val="left" w:pos="567"/>
        </w:tabs>
        <w:ind w:left="900"/>
        <w:jc w:val="center"/>
      </w:pP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FB134A" w:rsidTr="00FB134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 оператор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Потребитель</w:t>
            </w:r>
          </w:p>
        </w:tc>
      </w:tr>
      <w:tr w:rsidR="00FB134A" w:rsidTr="00FB134A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A" w:rsidRDefault="00FB13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ответственностью «МСК-НТ»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 123308, г. Москва, ул.Мнёвники Нижние, д. 37А, стр. 19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Почтовый адрес: 607220, Нижегородская область, г.Арзамас, ул. Ленина, д. 110,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пом. 112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7734699480, КПП 524343001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1137746342634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МОСКОВСКИЙ ФИЛИАЛ АБ "РОССИЯ" Г.МОСКВА, БИК 044525112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Р/С 40702810200100011117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К/С 30101810500000000112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e-mail:nfilial@msk-nt.ru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производственно-договорного отдела Нижегородского  филиала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  В.И.Исаев</w:t>
            </w:r>
          </w:p>
          <w:p w:rsidR="00FB134A" w:rsidRDefault="00FB134A">
            <w:pPr>
              <w:jc w:val="center"/>
              <w:rPr>
                <w:lang w:eastAsia="en-US"/>
              </w:rPr>
            </w:pPr>
          </w:p>
          <w:p w:rsidR="00FB134A" w:rsidRDefault="00FB13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«_____» _______________ 2019 г.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4A" w:rsidRDefault="00FB134A">
            <w:pPr>
              <w:jc w:val="center"/>
              <w:rPr>
                <w:lang w:val="en-US" w:eastAsia="en-US"/>
              </w:rPr>
            </w:pPr>
          </w:p>
        </w:tc>
      </w:tr>
    </w:tbl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  <w:gridCol w:w="5"/>
        <w:gridCol w:w="131"/>
      </w:tblGrid>
      <w:tr w:rsidR="00A3249D" w:rsidTr="00FB134A">
        <w:tc>
          <w:tcPr>
            <w:tcW w:w="4236" w:type="dxa"/>
            <w:shd w:val="clear" w:color="auto" w:fill="auto"/>
            <w:vAlign w:val="center"/>
          </w:tcPr>
          <w:p w:rsidR="00FB134A" w:rsidRDefault="00FB134A" w:rsidP="00FB134A">
            <w:pPr>
              <w:pStyle w:val="ConsPlusNormal"/>
              <w:ind w:right="536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Приложение № 2</w:t>
            </w:r>
          </w:p>
          <w:p w:rsidR="00FB134A" w:rsidRDefault="00FB134A" w:rsidP="00FB134A">
            <w:pPr>
              <w:pStyle w:val="ConsPlusNormal"/>
              <w:ind w:right="536"/>
              <w:jc w:val="right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 Договору _____________ от «___» __________201__г.</w:t>
            </w:r>
          </w:p>
          <w:p w:rsidR="00FB134A" w:rsidRDefault="00FB134A" w:rsidP="00FB134A">
            <w:pPr>
              <w:pStyle w:val="ConsPlusNormal"/>
              <w:ind w:right="536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оказание услуг по обращению с твердыми </w:t>
            </w:r>
          </w:p>
          <w:p w:rsidR="00FB134A" w:rsidRDefault="00FB134A" w:rsidP="00FB134A">
            <w:pPr>
              <w:pStyle w:val="ConsPlusNormal"/>
              <w:ind w:right="536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коммунальными отходами</w:t>
            </w:r>
          </w:p>
          <w:p w:rsidR="00FB134A" w:rsidRPr="00821994" w:rsidRDefault="00FB134A" w:rsidP="00FB1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B134A" w:rsidRDefault="00FB134A" w:rsidP="00FB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134A" w:rsidRDefault="00FB134A" w:rsidP="00FB13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Объем и место накопления твердых коммунальных отходов</w:t>
            </w:r>
          </w:p>
          <w:p w:rsidR="00FB134A" w:rsidRDefault="00FB134A" w:rsidP="00FB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872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439"/>
              <w:gridCol w:w="1529"/>
              <w:gridCol w:w="1529"/>
              <w:gridCol w:w="1892"/>
              <w:gridCol w:w="1529"/>
              <w:gridCol w:w="1579"/>
            </w:tblGrid>
            <w:tr w:rsidR="00FB134A" w:rsidTr="00FB134A">
              <w:trPr>
                <w:trHeight w:val="1359"/>
                <w:jc w:val="center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ind w:left="-62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Default="00FB134A" w:rsidP="00FB134A">
                  <w:pPr>
                    <w:pStyle w:val="ConsPlusNormal"/>
                    <w:ind w:left="-62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Pr="00147FE7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Объем принимаемых твердых коммунальных отходов</w:t>
                  </w: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Место (площадка) накопления твердых коммунальных отходов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Место (площадка) накопления крупногабаритных отходов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:rsidR="00FB134A" w:rsidRPr="000E700C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Наименование и к</w:t>
                  </w:r>
                  <w:r w:rsidRPr="000E700C">
                    <w:rPr>
                      <w:rFonts w:ascii="Times New Roman" w:hAnsi="Times New Roman" w:cs="Times New Roman"/>
                      <w:szCs w:val="22"/>
                    </w:rPr>
                    <w:t xml:space="preserve">ол-во расчетных единиц для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определения</w:t>
                  </w:r>
                  <w:r w:rsidRPr="000E700C">
                    <w:rPr>
                      <w:rFonts w:ascii="Times New Roman" w:hAnsi="Times New Roman" w:cs="Times New Roman"/>
                      <w:szCs w:val="22"/>
                    </w:rPr>
                    <w:t xml:space="preserve"> норматива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накопления твердых коммунальных отходов</w:t>
                  </w:r>
                </w:p>
              </w:tc>
              <w:tc>
                <w:tcPr>
                  <w:tcW w:w="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Периодичность вывоза твердых коммунальных отходов</w:t>
                  </w:r>
                </w:p>
              </w:tc>
            </w:tr>
            <w:tr w:rsidR="00FB134A" w:rsidTr="00FB134A">
              <w:trPr>
                <w:trHeight w:val="253"/>
                <w:jc w:val="center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134A" w:rsidTr="00FB134A">
              <w:trPr>
                <w:trHeight w:val="345"/>
                <w:jc w:val="center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2" w:type="dxa"/>
                  </w:tcMar>
                </w:tcPr>
                <w:p w:rsidR="00FB134A" w:rsidRDefault="00FB134A" w:rsidP="00FB134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134A" w:rsidRDefault="00FB134A" w:rsidP="00FB13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2"/>
              <w:tblpPr w:leftFromText="180" w:rightFromText="180" w:vertAnchor="text" w:horzAnchor="margin" w:tblpXSpec="center" w:tblpY="482"/>
              <w:tblW w:w="9918" w:type="dxa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FB134A" w:rsidRPr="00862925" w:rsidTr="00FB134A">
              <w:trPr>
                <w:trHeight w:val="2678"/>
              </w:trPr>
              <w:tc>
                <w:tcPr>
                  <w:tcW w:w="4957" w:type="dxa"/>
                </w:tcPr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b/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 xml:space="preserve">Региональный оператор                                                               </w:t>
                  </w:r>
                  <w:r w:rsidRPr="00862925">
                    <w:rPr>
                      <w:b/>
                      <w:color w:val="000000"/>
                    </w:rPr>
                    <w:t xml:space="preserve">ООО «МСК-НТ»  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  <w:r w:rsidRPr="00862925">
                    <w:rPr>
                      <w:b/>
                      <w:color w:val="000000"/>
                    </w:rPr>
                    <w:t xml:space="preserve">                                                                   </w:t>
                  </w:r>
                  <w:r w:rsidRPr="00862925">
                    <w:rPr>
                      <w:color w:val="000000"/>
                    </w:rPr>
                    <w:t xml:space="preserve">Начальник производственно- договорного отдела Нижегородского филиала 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>_______________________В.И. Исаев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both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 xml:space="preserve">м.п.                                                                                             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right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 xml:space="preserve">«___»____________________2019 г.                               </w:t>
                  </w:r>
                </w:p>
              </w:tc>
              <w:tc>
                <w:tcPr>
                  <w:tcW w:w="4961" w:type="dxa"/>
                </w:tcPr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>Потребитель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</w:p>
                <w:p w:rsidR="00FB134A" w:rsidRPr="00862925" w:rsidRDefault="00FB134A" w:rsidP="00FB134A">
                  <w:pPr>
                    <w:spacing w:after="28"/>
                    <w:ind w:right="408"/>
                    <w:rPr>
                      <w:color w:val="000000"/>
                    </w:rPr>
                  </w:pPr>
                </w:p>
                <w:p w:rsidR="00FB134A" w:rsidRPr="00862925" w:rsidRDefault="00FB134A" w:rsidP="00FB134A">
                  <w:pPr>
                    <w:spacing w:after="28"/>
                    <w:ind w:right="408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 xml:space="preserve">м.п.                                                                                             </w:t>
                  </w:r>
                </w:p>
                <w:p w:rsidR="00FB134A" w:rsidRPr="00862925" w:rsidRDefault="00FB134A" w:rsidP="00FB134A">
                  <w:pPr>
                    <w:spacing w:after="28"/>
                    <w:ind w:right="408"/>
                    <w:jc w:val="center"/>
                    <w:rPr>
                      <w:color w:val="000000"/>
                    </w:rPr>
                  </w:pPr>
                  <w:r w:rsidRPr="00862925">
                    <w:rPr>
                      <w:color w:val="000000"/>
                    </w:rPr>
                    <w:t xml:space="preserve">«___»____________________2019 г.                               </w:t>
                  </w:r>
                </w:p>
              </w:tc>
            </w:tr>
          </w:tbl>
          <w:p w:rsidR="00A3249D" w:rsidRDefault="00A3249D" w:rsidP="004F63DB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277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B134A" w:rsidRDefault="00FB134A" w:rsidP="00FB134A">
            <w:pPr>
              <w:pStyle w:val="TableParagraph"/>
              <w:ind w:left="4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FB134A">
        <w:tc>
          <w:tcPr>
            <w:tcW w:w="4236" w:type="dxa"/>
            <w:shd w:val="clear" w:color="auto" w:fill="auto"/>
          </w:tcPr>
          <w:p w:rsidR="00BA4B05" w:rsidRDefault="00BA4B05" w:rsidP="004F63DB"/>
        </w:tc>
        <w:tc>
          <w:tcPr>
            <w:tcW w:w="3277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FB134A">
        <w:trPr>
          <w:trHeight w:val="130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7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1947" w:type="dxa"/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FB134A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7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1947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FB134A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3277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FB134A" w:rsidRDefault="00FB134A" w:rsidP="00FB13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134A" w:rsidRDefault="00FB134A" w:rsidP="00FB13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Pr="00B665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площадок) накопления твердых коммунальных отходов и </w:t>
      </w:r>
    </w:p>
    <w:p w:rsidR="00FB134A" w:rsidRDefault="00FB134A" w:rsidP="00FB13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FB134A" w:rsidRDefault="00FB134A" w:rsidP="00FB134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B134A" w:rsidRPr="00862925" w:rsidRDefault="00FB134A" w:rsidP="00FB134A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40"/>
          <w:szCs w:val="40"/>
        </w:rPr>
      </w:pPr>
      <w:r w:rsidRPr="00862925">
        <w:rPr>
          <w:rFonts w:ascii="Times New Roman" w:hAnsi="Times New Roman" w:cs="Times New Roman"/>
          <w:color w:val="FF0000"/>
          <w:sz w:val="40"/>
          <w:szCs w:val="40"/>
        </w:rPr>
        <w:t>Здесь должен быть рисунок места нахождения контейнерной площадки</w:t>
      </w: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p w:rsidR="00FB134A" w:rsidRDefault="00FB134A" w:rsidP="00FB134A">
      <w:pPr>
        <w:pStyle w:val="ConsPlusNormal"/>
        <w:jc w:val="center"/>
      </w:pPr>
    </w:p>
    <w:tbl>
      <w:tblPr>
        <w:tblStyle w:val="3"/>
        <w:tblpPr w:leftFromText="180" w:rightFromText="180" w:vertAnchor="text" w:horzAnchor="page" w:tblpX="3322" w:tblpY="299"/>
        <w:tblW w:w="11341" w:type="dxa"/>
        <w:tblLook w:val="04A0" w:firstRow="1" w:lastRow="0" w:firstColumn="1" w:lastColumn="0" w:noHBand="0" w:noVBand="1"/>
      </w:tblPr>
      <w:tblGrid>
        <w:gridCol w:w="5807"/>
        <w:gridCol w:w="5534"/>
      </w:tblGrid>
      <w:tr w:rsidR="00FB134A" w:rsidRPr="00862925" w:rsidTr="00A37211">
        <w:trPr>
          <w:trHeight w:val="2678"/>
        </w:trPr>
        <w:tc>
          <w:tcPr>
            <w:tcW w:w="5807" w:type="dxa"/>
          </w:tcPr>
          <w:p w:rsidR="00FB134A" w:rsidRPr="00862925" w:rsidRDefault="00FB134A" w:rsidP="00A37211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 w:rsidRPr="00862925">
              <w:rPr>
                <w:color w:val="000000"/>
              </w:rPr>
              <w:t xml:space="preserve">Региональный оператор                                                               </w:t>
            </w:r>
            <w:r w:rsidRPr="00862925">
              <w:rPr>
                <w:b/>
                <w:color w:val="000000"/>
              </w:rPr>
              <w:t xml:space="preserve">ООО «МСК-НТ»  </w:t>
            </w:r>
          </w:p>
          <w:p w:rsidR="00FB134A" w:rsidRDefault="00FB134A" w:rsidP="00A37211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 w:rsidRPr="00862925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    </w:t>
            </w: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b/>
                <w:color w:val="000000"/>
              </w:rPr>
              <w:t xml:space="preserve"> </w:t>
            </w:r>
            <w:r w:rsidRPr="00862925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_______________________В.И. Исаев</w:t>
            </w:r>
          </w:p>
          <w:p w:rsidR="00FB134A" w:rsidRPr="00862925" w:rsidRDefault="00FB134A" w:rsidP="00A37211">
            <w:pPr>
              <w:spacing w:after="28"/>
              <w:ind w:right="408"/>
              <w:jc w:val="both"/>
              <w:rPr>
                <w:color w:val="000000"/>
              </w:rPr>
            </w:pPr>
            <w:r w:rsidRPr="00862925">
              <w:rPr>
                <w:color w:val="000000"/>
              </w:rPr>
              <w:t xml:space="preserve">м.п.                                                                                             </w:t>
            </w:r>
          </w:p>
          <w:p w:rsidR="00FB134A" w:rsidRPr="00862925" w:rsidRDefault="00FB134A" w:rsidP="00A37211">
            <w:pPr>
              <w:spacing w:after="28"/>
              <w:ind w:right="408"/>
              <w:jc w:val="right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  <w:tc>
          <w:tcPr>
            <w:tcW w:w="5534" w:type="dxa"/>
          </w:tcPr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Потребитель</w:t>
            </w: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FB134A" w:rsidRPr="00862925" w:rsidRDefault="00FB134A" w:rsidP="00A37211">
            <w:pPr>
              <w:spacing w:after="28"/>
              <w:ind w:right="408"/>
              <w:rPr>
                <w:color w:val="000000"/>
              </w:rPr>
            </w:pPr>
          </w:p>
          <w:p w:rsidR="00FB134A" w:rsidRPr="00862925" w:rsidRDefault="00FB134A" w:rsidP="00A37211">
            <w:pPr>
              <w:spacing w:after="28"/>
              <w:ind w:right="408"/>
              <w:rPr>
                <w:color w:val="000000"/>
              </w:rPr>
            </w:pPr>
            <w:r w:rsidRPr="00862925">
              <w:rPr>
                <w:color w:val="000000"/>
              </w:rPr>
              <w:t xml:space="preserve">м.п.                                                                                             </w:t>
            </w:r>
          </w:p>
          <w:p w:rsidR="00FB134A" w:rsidRPr="00862925" w:rsidRDefault="00FB134A" w:rsidP="00A37211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</w:tr>
    </w:tbl>
    <w:p w:rsidR="00A3249D" w:rsidRDefault="00A3249D">
      <w:pPr>
        <w:pStyle w:val="ConsPlusNormal"/>
      </w:pP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4A" w:rsidRDefault="00FB134A" w:rsidP="00FB134A">
      <w:r>
        <w:separator/>
      </w:r>
    </w:p>
  </w:endnote>
  <w:endnote w:type="continuationSeparator" w:id="0">
    <w:p w:rsidR="00FB134A" w:rsidRDefault="00FB134A" w:rsidP="00F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4A" w:rsidRDefault="00FB134A" w:rsidP="00FB134A">
      <w:r>
        <w:separator/>
      </w:r>
    </w:p>
  </w:footnote>
  <w:footnote w:type="continuationSeparator" w:id="0">
    <w:p w:rsidR="00FB134A" w:rsidRDefault="00FB134A" w:rsidP="00FB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D75BB"/>
    <w:rsid w:val="000E700C"/>
    <w:rsid w:val="00147FE7"/>
    <w:rsid w:val="00206755"/>
    <w:rsid w:val="0027680F"/>
    <w:rsid w:val="00332356"/>
    <w:rsid w:val="00365663"/>
    <w:rsid w:val="003E6F90"/>
    <w:rsid w:val="00473212"/>
    <w:rsid w:val="004866BB"/>
    <w:rsid w:val="004F63DB"/>
    <w:rsid w:val="005252CB"/>
    <w:rsid w:val="005A5D41"/>
    <w:rsid w:val="005D7B18"/>
    <w:rsid w:val="006022E5"/>
    <w:rsid w:val="00641962"/>
    <w:rsid w:val="00641F58"/>
    <w:rsid w:val="00682FD6"/>
    <w:rsid w:val="006A5557"/>
    <w:rsid w:val="007759B6"/>
    <w:rsid w:val="007B11CD"/>
    <w:rsid w:val="00805686"/>
    <w:rsid w:val="00813B62"/>
    <w:rsid w:val="00827B9E"/>
    <w:rsid w:val="008464FA"/>
    <w:rsid w:val="008F76E2"/>
    <w:rsid w:val="00915E77"/>
    <w:rsid w:val="009271C6"/>
    <w:rsid w:val="00991FAA"/>
    <w:rsid w:val="00A10586"/>
    <w:rsid w:val="00A1465F"/>
    <w:rsid w:val="00A3249D"/>
    <w:rsid w:val="00AB0AF5"/>
    <w:rsid w:val="00B31EA4"/>
    <w:rsid w:val="00B37D15"/>
    <w:rsid w:val="00BA4B05"/>
    <w:rsid w:val="00BD0623"/>
    <w:rsid w:val="00C22458"/>
    <w:rsid w:val="00CE1800"/>
    <w:rsid w:val="00CE78D9"/>
    <w:rsid w:val="00D910B9"/>
    <w:rsid w:val="00DE249D"/>
    <w:rsid w:val="00EC729F"/>
    <w:rsid w:val="00FB134A"/>
    <w:rsid w:val="00FD6C50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C018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FB134A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FB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FB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07F10771969839FE27406186BCFC9CC1D8C09724160C32291D9F7D3D26350E432B892B8E3A123v9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798C-775D-4A1A-92EB-8C19812F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20</cp:revision>
  <cp:lastPrinted>2019-01-12T09:36:00Z</cp:lastPrinted>
  <dcterms:created xsi:type="dcterms:W3CDTF">2018-11-14T06:20:00Z</dcterms:created>
  <dcterms:modified xsi:type="dcterms:W3CDTF">2019-01-12T12:20:00Z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