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</w:t>
      </w:r>
      <w:r w:rsidR="00162B0B">
        <w:rPr>
          <w:rFonts w:ascii="Times New Roman" w:hAnsi="Times New Roman" w:cs="Times New Roman"/>
          <w:b/>
          <w:color w:val="000000" w:themeColor="text1"/>
        </w:rPr>
        <w:t>2023</w:t>
      </w:r>
      <w:r w:rsidR="004405B9">
        <w:rPr>
          <w:rFonts w:ascii="Times New Roman" w:hAnsi="Times New Roman" w:cs="Times New Roman"/>
          <w:b/>
          <w:color w:val="000000" w:themeColor="text1"/>
        </w:rPr>
        <w:t>/ТКО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</w:t>
      </w:r>
      <w:r w:rsidR="00162B0B">
        <w:rPr>
          <w:rFonts w:ascii="Times New Roman" w:hAnsi="Times New Roman" w:cs="Times New Roman"/>
        </w:rPr>
        <w:t>2023</w:t>
      </w:r>
      <w:r w:rsidR="006521BD">
        <w:rPr>
          <w:rFonts w:ascii="Times New Roman" w:hAnsi="Times New Roman" w:cs="Times New Roman"/>
        </w:rPr>
        <w:t xml:space="preserve">  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Default="00641F58" w:rsidP="009076EC">
      <w:pPr>
        <w:ind w:firstLine="709"/>
        <w:jc w:val="both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>в лице</w:t>
      </w:r>
      <w:r w:rsidR="0017182B">
        <w:rPr>
          <w:color w:val="000000" w:themeColor="text1"/>
        </w:rPr>
        <w:t xml:space="preserve"> _______________</w:t>
      </w:r>
      <w:r w:rsidR="00B55CBA" w:rsidRPr="00B5496F">
        <w:t>, действующе</w:t>
      </w:r>
      <w:r w:rsidR="00B55CBA">
        <w:t>й</w:t>
      </w:r>
      <w:r w:rsidR="00B55CBA" w:rsidRPr="00B5496F">
        <w:t xml:space="preserve"> на основании</w:t>
      </w:r>
      <w:r w:rsidR="0017182B">
        <w:t xml:space="preserve"> _______________________ 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D763FD" w:rsidRPr="00502222" w:rsidRDefault="00B55CBA" w:rsidP="009076EC">
      <w:pPr>
        <w:ind w:firstLine="709"/>
        <w:jc w:val="both"/>
      </w:pPr>
      <w:r>
        <w:t>Индивидуальный предприниматель</w:t>
      </w:r>
      <w:r w:rsidR="00E8733E">
        <w:t>_______________________</w:t>
      </w:r>
      <w:r w:rsidR="006231B2">
        <w:t>, действующий</w:t>
      </w:r>
      <w:r>
        <w:t xml:space="preserve"> на основании свидетельства ОГРНИП </w:t>
      </w:r>
      <w:r w:rsidR="00E8733E">
        <w:t>__________________________</w:t>
      </w:r>
      <w:r>
        <w:t xml:space="preserve">, </w:t>
      </w:r>
      <w:r w:rsidR="00502222" w:rsidRPr="00502222">
        <w:rPr>
          <w:color w:val="000000"/>
          <w:spacing w:val="-2"/>
        </w:rPr>
        <w:t xml:space="preserve">именуемое в дальнейшем </w:t>
      </w:r>
      <w:r w:rsidR="001E6F3E">
        <w:rPr>
          <w:color w:val="000000"/>
          <w:spacing w:val="-2"/>
        </w:rPr>
        <w:t>«</w:t>
      </w:r>
      <w:r w:rsidR="00502222" w:rsidRPr="00502222">
        <w:rPr>
          <w:b/>
          <w:color w:val="000000"/>
          <w:spacing w:val="-2"/>
        </w:rPr>
        <w:t>Потребитель</w:t>
      </w:r>
      <w:r w:rsidR="001E6F3E">
        <w:rPr>
          <w:b/>
          <w:color w:val="000000"/>
          <w:spacing w:val="-2"/>
        </w:rPr>
        <w:t>»</w:t>
      </w:r>
      <w:r w:rsidR="00502222" w:rsidRPr="00502222">
        <w:rPr>
          <w:color w:val="000000"/>
          <w:spacing w:val="-2"/>
        </w:rPr>
        <w:t>, с другой стороны, именуемые в дальнейшем сторонами,</w:t>
      </w:r>
      <w:r w:rsidR="00502222" w:rsidRPr="00502222">
        <w:rPr>
          <w:spacing w:val="-2"/>
        </w:rPr>
        <w:t xml:space="preserve"> </w:t>
      </w:r>
      <w:r w:rsidR="00502222" w:rsidRPr="00502222">
        <w:rPr>
          <w:color w:val="000000"/>
          <w:spacing w:val="-2"/>
        </w:rPr>
        <w:t xml:space="preserve">заключили настоящий </w:t>
      </w:r>
      <w:r w:rsidR="009D2636">
        <w:rPr>
          <w:color w:val="000000"/>
          <w:spacing w:val="-2"/>
        </w:rPr>
        <w:t>договор</w:t>
      </w:r>
      <w:r w:rsidR="00502222" w:rsidRPr="00502222">
        <w:rPr>
          <w:color w:val="000000"/>
          <w:spacing w:val="-2"/>
        </w:rPr>
        <w:t xml:space="preserve"> (далее по тексту – «договор») о нижеследующем</w:t>
      </w:r>
      <w:r w:rsidR="00D763FD" w:rsidRPr="00502222"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E6F3E" w:rsidRPr="00B55CBA" w:rsidRDefault="00C573BA" w:rsidP="001E6F3E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1E6F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1E6F3E">
        <w:rPr>
          <w:rFonts w:ascii="Times New Roman" w:hAnsi="Times New Roman" w:cs="Times New Roman"/>
          <w:color w:val="000000" w:themeColor="text1"/>
          <w:szCs w:val="24"/>
        </w:rPr>
        <w:t xml:space="preserve">Оказание услуг осуществляется Нижегородским </w:t>
      </w:r>
      <w:r w:rsidR="001F5B12" w:rsidRPr="00B55CBA">
        <w:rPr>
          <w:rFonts w:ascii="Times New Roman" w:hAnsi="Times New Roman" w:cs="Times New Roman"/>
          <w:color w:val="000000" w:themeColor="text1"/>
          <w:szCs w:val="24"/>
        </w:rPr>
        <w:t xml:space="preserve">филиалом </w:t>
      </w:r>
      <w:r w:rsidR="001E6F3E" w:rsidRPr="00B55CBA">
        <w:rPr>
          <w:rFonts w:ascii="Times New Roman" w:hAnsi="Times New Roman" w:cs="Times New Roman"/>
          <w:szCs w:val="24"/>
        </w:rPr>
        <w:t>регионального оператора.</w:t>
      </w:r>
    </w:p>
    <w:p w:rsidR="00A3249D" w:rsidRPr="001E6F3E" w:rsidRDefault="004556C8" w:rsidP="0089685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E6F3E"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 w:rsidRPr="001E6F3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1E6F3E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1E6F3E">
        <w:rPr>
          <w:rFonts w:ascii="Times New Roman" w:hAnsi="Times New Roman" w:cs="Times New Roman"/>
        </w:rPr>
        <w:t xml:space="preserve"> (площадки)</w:t>
      </w:r>
      <w:r w:rsidR="00915E77" w:rsidRPr="001E6F3E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1E6F3E">
        <w:rPr>
          <w:rFonts w:ascii="Times New Roman" w:hAnsi="Times New Roman" w:cs="Times New Roman"/>
        </w:rPr>
        <w:t>,</w:t>
      </w:r>
      <w:r w:rsidR="00915E77" w:rsidRPr="001E6F3E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1E6F3E">
        <w:rPr>
          <w:rFonts w:ascii="Times New Roman" w:hAnsi="Times New Roman" w:cs="Times New Roman"/>
        </w:rPr>
        <w:t xml:space="preserve"> (площадок)</w:t>
      </w:r>
      <w:r w:rsidR="00915E77" w:rsidRPr="001E6F3E">
        <w:rPr>
          <w:rFonts w:ascii="Times New Roman" w:hAnsi="Times New Roman" w:cs="Times New Roman"/>
        </w:rPr>
        <w:t xml:space="preserve"> накопления твердых коммунальных от</w:t>
      </w:r>
      <w:r w:rsidRPr="001E6F3E">
        <w:rPr>
          <w:rFonts w:ascii="Times New Roman" w:hAnsi="Times New Roman" w:cs="Times New Roman"/>
        </w:rPr>
        <w:t xml:space="preserve">ходов и подъездных путей к ним </w:t>
      </w:r>
      <w:r w:rsidR="0014234E" w:rsidRPr="001E6F3E">
        <w:rPr>
          <w:rFonts w:ascii="Times New Roman" w:hAnsi="Times New Roman" w:cs="Times New Roman"/>
        </w:rPr>
        <w:t>определяются согласно П</w:t>
      </w:r>
      <w:r w:rsidR="00915E77" w:rsidRPr="001E6F3E">
        <w:rPr>
          <w:rFonts w:ascii="Times New Roman" w:hAnsi="Times New Roman" w:cs="Times New Roman"/>
        </w:rPr>
        <w:t xml:space="preserve">риложению </w:t>
      </w:r>
      <w:r w:rsidR="0014234E" w:rsidRPr="001E6F3E">
        <w:rPr>
          <w:rFonts w:ascii="Times New Roman" w:hAnsi="Times New Roman" w:cs="Times New Roman"/>
        </w:rPr>
        <w:t xml:space="preserve"> №1 </w:t>
      </w:r>
      <w:r w:rsidR="00915E77" w:rsidRPr="001E6F3E">
        <w:rPr>
          <w:rFonts w:ascii="Times New Roman" w:hAnsi="Times New Roman" w:cs="Times New Roman"/>
        </w:rPr>
        <w:t>к настоящему договору</w:t>
      </w:r>
      <w:r w:rsidR="004B54B9" w:rsidRPr="001E6F3E">
        <w:rPr>
          <w:rFonts w:ascii="Times New Roman" w:hAnsi="Times New Roman" w:cs="Times New Roman"/>
        </w:rPr>
        <w:t>, являющемуся его неотъемлемой частью</w:t>
      </w:r>
      <w:r w:rsidR="00915E77" w:rsidRPr="001E6F3E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C9592E">
        <w:rPr>
          <w:rFonts w:ascii="Times New Roman" w:hAnsi="Times New Roman" w:cs="Times New Roman"/>
          <w:sz w:val="24"/>
          <w:szCs w:val="24"/>
        </w:rPr>
        <w:t>нет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731A04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</w:t>
      </w:r>
    </w:p>
    <w:p w:rsidR="0017182B" w:rsidRDefault="0017182B" w:rsidP="0017182B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6B4A21" w:rsidRPr="009B2E77" w:rsidRDefault="006B4A21" w:rsidP="006B4A21">
      <w:pPr>
        <w:pStyle w:val="ConsPlusNormal"/>
        <w:numPr>
          <w:ilvl w:val="0"/>
          <w:numId w:val="1"/>
        </w:numPr>
        <w:spacing w:after="120"/>
        <w:ind w:left="142" w:firstLine="425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>
        <w:rPr>
          <w:rFonts w:ascii="Times New Roman" w:hAnsi="Times New Roman" w:cs="Times New Roman"/>
        </w:rPr>
        <w:t>Р</w:t>
      </w:r>
      <w:r w:rsidRPr="009B2E77">
        <w:rPr>
          <w:rFonts w:ascii="Times New Roman" w:hAnsi="Times New Roman" w:cs="Times New Roman"/>
        </w:rPr>
        <w:t>егионального оператора</w:t>
      </w:r>
      <w:r>
        <w:rPr>
          <w:rFonts w:ascii="Times New Roman" w:hAnsi="Times New Roman" w:cs="Times New Roman"/>
        </w:rPr>
        <w:t xml:space="preserve">. </w:t>
      </w: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оператора.</w:t>
      </w:r>
    </w:p>
    <w:p w:rsidR="001E6F3E" w:rsidRDefault="006B4A21" w:rsidP="001E6F3E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1E6F3E">
        <w:rPr>
          <w:rFonts w:ascii="Times New Roman" w:hAnsi="Times New Roman" w:cs="Times New Roman"/>
          <w:szCs w:val="24"/>
        </w:rPr>
        <w:t>Единый тариф на услугу регионального оператора доступен на официальном сайте Региональной службы по тарифам Нижегородской области (</w:t>
      </w:r>
      <w:hyperlink r:id="rId8" w:history="1">
        <w:r w:rsidRPr="001E6F3E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1E6F3E">
        <w:rPr>
          <w:rFonts w:ascii="Times New Roman" w:hAnsi="Times New Roman" w:cs="Times New Roman"/>
          <w:szCs w:val="24"/>
        </w:rPr>
        <w:t xml:space="preserve">). </w:t>
      </w:r>
    </w:p>
    <w:p w:rsidR="001E6F3E" w:rsidRPr="00F47B2F" w:rsidRDefault="006B4A21" w:rsidP="001E6F3E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1E6F3E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Нижегородской области (решение Региональной службы по тарифам Нижегородской области), </w:t>
      </w:r>
      <w:r w:rsidR="001E6F3E">
        <w:rPr>
          <w:rFonts w:ascii="Times New Roman" w:hAnsi="Times New Roman" w:cs="Times New Roman"/>
          <w:szCs w:val="24"/>
        </w:rPr>
        <w:t>и применяется к данному договору, при этом подписание дополнительного соглашения к договору не требуется</w:t>
      </w:r>
      <w:r w:rsidR="001E6F3E" w:rsidRPr="00F47B2F">
        <w:rPr>
          <w:rFonts w:ascii="Times New Roman" w:hAnsi="Times New Roman" w:cs="Times New Roman"/>
          <w:szCs w:val="24"/>
        </w:rPr>
        <w:t>.</w:t>
      </w:r>
    </w:p>
    <w:p w:rsidR="006B4A21" w:rsidRPr="001E6F3E" w:rsidRDefault="006B4A21" w:rsidP="00AB765C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1E6F3E">
        <w:rPr>
          <w:rFonts w:ascii="Times New Roman" w:hAnsi="Times New Roman" w:cs="Times New Roman"/>
          <w:szCs w:val="24"/>
        </w:rPr>
        <w:t xml:space="preserve">Размер стоимости в расчетном периоде за услуги по обращению с твердыми коммунальными отходами определяется как произведение единого тарифа, действующего в расчетном </w:t>
      </w:r>
      <w:r w:rsidRPr="001E6F3E">
        <w:rPr>
          <w:rFonts w:ascii="Times New Roman" w:hAnsi="Times New Roman" w:cs="Times New Roman"/>
          <w:szCs w:val="24"/>
        </w:rPr>
        <w:lastRenderedPageBreak/>
        <w:t>периоде (п.5.1 настоящего Договора) на количество расчетных единиц и годовой норматив накопления отходов поделенный на 12.</w:t>
      </w:r>
    </w:p>
    <w:p w:rsidR="006B4A21" w:rsidRPr="001B7E58" w:rsidRDefault="006B4A21" w:rsidP="006B4A21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8649A6" w:rsidRPr="00B55CBA" w:rsidRDefault="008649A6" w:rsidP="008649A6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55CBA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обращению с твердыми коммунальными отходами вносится на расчетный счет регионального оператора по реквизитам, указанным в разделе договора «Адреса, реквизиты и подписи сторон».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B55CBA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 w:rsidRPr="00B55CBA">
        <w:rPr>
          <w:rFonts w:ascii="Times New Roman" w:hAnsi="Times New Roman" w:cs="Times New Roman"/>
        </w:rPr>
        <w:t xml:space="preserve"> </w:t>
      </w:r>
      <w:r w:rsidRPr="00B55CBA">
        <w:rPr>
          <w:rFonts w:ascii="Times New Roman" w:hAnsi="Times New Roman" w:cs="Times New Roman"/>
        </w:rPr>
        <w:t>и потребителем не реже чем один</w:t>
      </w:r>
      <w:r w:rsidRPr="009B2E77">
        <w:rPr>
          <w:rFonts w:ascii="Times New Roman" w:hAnsi="Times New Roman" w:cs="Times New Roman"/>
        </w:rPr>
        <w:t xml:space="preserve">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5455EA" w:rsidRPr="009B2E77" w:rsidRDefault="005455EA" w:rsidP="005455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82B">
        <w:rPr>
          <w:rFonts w:ascii="Times New Roman" w:hAnsi="Times New Roman" w:cs="Times New Roman"/>
        </w:rPr>
        <w:t>г)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lastRenderedPageBreak/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5455EA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17182B">
        <w:rPr>
          <w:rFonts w:ascii="Times New Roman" w:hAnsi="Times New Roman" w:cs="Times New Roman"/>
        </w:rPr>
        <w:t>з) обеспечить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731A04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731A04">
        <w:rPr>
          <w:rFonts w:ascii="Times New Roman" w:hAnsi="Times New Roman" w:cs="Times New Roman"/>
          <w:b/>
        </w:rPr>
        <w:t>р</w:t>
      </w:r>
      <w:r w:rsidR="00F90B3E" w:rsidRPr="00731A04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731A04">
        <w:rPr>
          <w:rFonts w:ascii="Times New Roman" w:hAnsi="Times New Roman" w:cs="Times New Roman"/>
          <w:b/>
        </w:rPr>
        <w:t xml:space="preserve">, </w:t>
      </w:r>
      <w:r w:rsidR="00BE6521" w:rsidRPr="00731A04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D05A1A" w:rsidRPr="00D05A1A" w:rsidRDefault="00D05A1A" w:rsidP="00B37C86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</w:t>
      </w:r>
      <w:r>
        <w:rPr>
          <w:rFonts w:ascii="Times New Roman" w:hAnsi="Times New Roman" w:cs="Times New Roman"/>
          <w:color w:val="000000"/>
          <w:spacing w:val="-2"/>
        </w:rPr>
        <w:t>распространяет свое действие на правоотношения Сторон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 xml:space="preserve">возникшие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с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7182B">
        <w:rPr>
          <w:rFonts w:ascii="Times New Roman" w:hAnsi="Times New Roman" w:cs="Times New Roman"/>
          <w:color w:val="000000"/>
          <w:spacing w:val="-2"/>
        </w:rPr>
        <w:t>______________________ по ____________________</w:t>
      </w:r>
      <w:r w:rsidRPr="00245FD9">
        <w:rPr>
          <w:rFonts w:ascii="Times New Roman" w:hAnsi="Times New Roman" w:cs="Times New Roman"/>
          <w:color w:val="000000"/>
          <w:spacing w:val="-2"/>
        </w:rPr>
        <w:t>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397EF4">
        <w:rPr>
          <w:rFonts w:ascii="Times New Roman" w:hAnsi="Times New Roman" w:cs="Times New Roman"/>
          <w:color w:val="000000"/>
          <w:spacing w:val="-2"/>
        </w:rPr>
        <w:t>.</w:t>
      </w:r>
    </w:p>
    <w:p w:rsidR="00B37C86" w:rsidRDefault="00B37C86" w:rsidP="00B37C86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55CBA">
        <w:rPr>
          <w:rFonts w:ascii="Times New Roman" w:hAnsi="Times New Roman" w:cs="Times New Roman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</w:t>
      </w:r>
      <w:r>
        <w:rPr>
          <w:rFonts w:ascii="Times New Roman" w:hAnsi="Times New Roman" w:cs="Times New Roman"/>
        </w:rPr>
        <w:t xml:space="preserve"> не заявит о его прекращении или изменении либо о заключении нового договора на иных условиях.</w:t>
      </w:r>
      <w:r w:rsidR="009E4BAC">
        <w:rPr>
          <w:rFonts w:ascii="Times New Roman" w:hAnsi="Times New Roman" w:cs="Times New Roman"/>
        </w:rPr>
        <w:t xml:space="preserve"> Количество пролонгаций не ограничено.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</w:t>
      </w:r>
      <w:r w:rsidRPr="00622F3B">
        <w:rPr>
          <w:rFonts w:ascii="Times New Roman" w:hAnsi="Times New Roman" w:cs="Times New Roman"/>
          <w:color w:val="000000"/>
          <w:spacing w:val="-2"/>
        </w:rPr>
        <w:lastRenderedPageBreak/>
        <w:t xml:space="preserve">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>При не</w:t>
      </w:r>
      <w:r w:rsidR="00731A04">
        <w:rPr>
          <w:rFonts w:ascii="Times New Roman" w:hAnsi="Times New Roman" w:cs="Times New Roman"/>
          <w:color w:val="000000"/>
        </w:rPr>
        <w:t xml:space="preserve"> </w:t>
      </w:r>
      <w:r w:rsidRPr="00622F3B">
        <w:rPr>
          <w:rFonts w:ascii="Times New Roman" w:hAnsi="Times New Roman" w:cs="Times New Roman"/>
          <w:color w:val="000000"/>
        </w:rPr>
        <w:t xml:space="preserve">достижении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97B9D" w:rsidRPr="009B2E77" w:rsidRDefault="00097B9D" w:rsidP="00097B9D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договорились, что документы, касающиеся настоящего договора, в том числе и сам договор, переданные при помощи электронной почты, факсимильной связи, имеют юридическую силу до предоставления оригиналов документов.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B55CBA">
        <w:trPr>
          <w:trHeight w:val="180"/>
        </w:trPr>
        <w:tc>
          <w:tcPr>
            <w:tcW w:w="5390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B55CBA">
        <w:trPr>
          <w:trHeight w:val="18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B55CBA">
        <w:trPr>
          <w:trHeight w:val="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F" w:rsidRPr="00AC750F" w:rsidRDefault="00AC750F" w:rsidP="00AC75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750F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AC750F" w:rsidRPr="00AC750F" w:rsidRDefault="00AC750F" w:rsidP="00AC75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750F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AC750F" w:rsidRPr="00B55CBA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B55CB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AC750F" w:rsidRPr="00B55CBA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B55CB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55CB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B55CB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AC750F" w:rsidRPr="00B55CBA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B55CB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AC750F" w:rsidRPr="00AC750F" w:rsidRDefault="00AC750F" w:rsidP="00AC75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5CBA">
              <w:rPr>
                <w:b/>
                <w:sz w:val="22"/>
                <w:szCs w:val="22"/>
                <w:lang w:eastAsia="en-US"/>
              </w:rPr>
              <w:t>Нижегородский филиал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>Юридический адрес: 607220, Нижегородская область,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F2FE7">
              <w:rPr>
                <w:sz w:val="22"/>
                <w:szCs w:val="22"/>
                <w:lang w:eastAsia="en-US"/>
              </w:rPr>
              <w:t>г.о.город</w:t>
            </w:r>
            <w:proofErr w:type="spellEnd"/>
            <w:r w:rsidRPr="007F2FE7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F2FE7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7F2FE7">
              <w:rPr>
                <w:sz w:val="22"/>
                <w:szCs w:val="22"/>
                <w:lang w:eastAsia="en-US"/>
              </w:rPr>
              <w:t>, стр. 57 А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>Почтовый адрес: 607220, Нижегородская область,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F2FE7">
              <w:rPr>
                <w:sz w:val="22"/>
                <w:szCs w:val="22"/>
                <w:lang w:eastAsia="en-US"/>
              </w:rPr>
              <w:t>г.о.город</w:t>
            </w:r>
            <w:proofErr w:type="spellEnd"/>
            <w:r w:rsidRPr="007F2FE7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F2FE7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7F2FE7">
              <w:rPr>
                <w:sz w:val="22"/>
                <w:szCs w:val="22"/>
                <w:lang w:eastAsia="en-US"/>
              </w:rPr>
              <w:t>, стр. 57 А</w:t>
            </w:r>
          </w:p>
          <w:p w:rsidR="007F2FE7" w:rsidRP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 xml:space="preserve">Фактический адрес: 607220, Нижегородская область, </w:t>
            </w:r>
          </w:p>
          <w:p w:rsidR="007F2FE7" w:rsidRDefault="007F2FE7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7F2FE7">
              <w:rPr>
                <w:sz w:val="22"/>
                <w:szCs w:val="22"/>
                <w:lang w:eastAsia="en-US"/>
              </w:rPr>
              <w:t xml:space="preserve">г. Арзамас, ул. 50 Лет ВЛКСМ, д.12Б </w:t>
            </w:r>
          </w:p>
          <w:p w:rsidR="00AC750F" w:rsidRPr="00AC750F" w:rsidRDefault="00AC750F" w:rsidP="007F2FE7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AC750F" w:rsidRPr="00AC750F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eastAsia="en-US"/>
              </w:rPr>
              <w:t>Р/С 40702810200100011117</w:t>
            </w:r>
          </w:p>
          <w:p w:rsidR="00AC750F" w:rsidRPr="00AC750F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eastAsia="en-US"/>
              </w:rPr>
              <w:t>МОСКОВСКИЙ ФИЛИАЛ АБ "РОССИЯ" Г.МОСКВА, БИК 044525112</w:t>
            </w:r>
          </w:p>
          <w:p w:rsidR="00AC750F" w:rsidRPr="00AC750F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eastAsia="en-US"/>
              </w:rPr>
              <w:t>К/С 30101810500000000112</w:t>
            </w:r>
          </w:p>
          <w:p w:rsidR="00AC750F" w:rsidRPr="00AC750F" w:rsidRDefault="00AC750F" w:rsidP="00AC750F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AC750F" w:rsidRPr="00AC750F" w:rsidRDefault="00AC750F" w:rsidP="00AC750F">
            <w:pPr>
              <w:jc w:val="center"/>
              <w:rPr>
                <w:color w:val="0563C1" w:themeColor="hyperlink"/>
                <w:sz w:val="22"/>
                <w:szCs w:val="22"/>
                <w:u w:val="single"/>
                <w:lang w:eastAsia="en-US"/>
              </w:rPr>
            </w:pPr>
            <w:r w:rsidRPr="00AC750F">
              <w:rPr>
                <w:sz w:val="22"/>
                <w:szCs w:val="22"/>
                <w:lang w:val="en-US" w:eastAsia="en-US"/>
              </w:rPr>
              <w:t>e</w:t>
            </w:r>
            <w:r w:rsidRPr="00AC750F">
              <w:rPr>
                <w:sz w:val="22"/>
                <w:szCs w:val="22"/>
                <w:lang w:eastAsia="en-US"/>
              </w:rPr>
              <w:t>-</w:t>
            </w:r>
            <w:r w:rsidRPr="00AC750F">
              <w:rPr>
                <w:sz w:val="22"/>
                <w:szCs w:val="22"/>
                <w:lang w:val="en-US" w:eastAsia="en-US"/>
              </w:rPr>
              <w:t>mail</w:t>
            </w:r>
            <w:r w:rsidRPr="00AC750F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AC750F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5CBA" w:rsidRPr="0089599A" w:rsidRDefault="00B55CB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17182B">
              <w:rPr>
                <w:sz w:val="22"/>
                <w:szCs w:val="22"/>
                <w:lang w:eastAsia="en-US"/>
              </w:rPr>
              <w:t>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Default="001A2E9F" w:rsidP="00B55C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</w:t>
            </w:r>
            <w:r w:rsidR="00B55CBA">
              <w:rPr>
                <w:sz w:val="22"/>
                <w:szCs w:val="22"/>
                <w:lang w:eastAsia="en-US"/>
              </w:rPr>
              <w:t xml:space="preserve">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  <w:p w:rsidR="00B55CBA" w:rsidRPr="0089599A" w:rsidRDefault="00B55CBA" w:rsidP="00B55C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9" w:rsidRPr="006231B2" w:rsidRDefault="000D0899" w:rsidP="000D08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31B2">
              <w:rPr>
                <w:b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F47B2F" w:rsidRPr="006231B2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0D0899" w:rsidP="00E8733E">
            <w:pPr>
              <w:jc w:val="center"/>
              <w:rPr>
                <w:sz w:val="22"/>
                <w:szCs w:val="22"/>
                <w:lang w:eastAsia="en-US"/>
              </w:rPr>
            </w:pPr>
            <w:r w:rsidRPr="006231B2">
              <w:rPr>
                <w:sz w:val="22"/>
                <w:szCs w:val="22"/>
                <w:lang w:eastAsia="en-US"/>
              </w:rPr>
              <w:t>Юридический, фактический и по</w:t>
            </w:r>
            <w:r w:rsidR="006231B2" w:rsidRPr="006231B2">
              <w:rPr>
                <w:sz w:val="22"/>
                <w:szCs w:val="22"/>
                <w:lang w:eastAsia="en-US"/>
              </w:rPr>
              <w:t xml:space="preserve">чтовый адрес: </w:t>
            </w:r>
          </w:p>
          <w:p w:rsidR="00E8733E" w:rsidRPr="006231B2" w:rsidRDefault="00E8733E" w:rsidP="00E8733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Pr="006231B2" w:rsidRDefault="000D0899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6231B2">
              <w:rPr>
                <w:sz w:val="22"/>
                <w:szCs w:val="22"/>
                <w:lang w:eastAsia="en-US"/>
              </w:rPr>
              <w:t xml:space="preserve">ИНН </w:t>
            </w:r>
          </w:p>
          <w:p w:rsidR="006231B2" w:rsidRPr="006231B2" w:rsidRDefault="000D0899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6231B2">
              <w:rPr>
                <w:sz w:val="22"/>
                <w:szCs w:val="22"/>
                <w:lang w:eastAsia="en-US"/>
              </w:rPr>
              <w:t xml:space="preserve">ОГРНИП </w:t>
            </w:r>
          </w:p>
          <w:p w:rsidR="00F47B2F" w:rsidRDefault="000D0899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6231B2">
              <w:rPr>
                <w:sz w:val="22"/>
                <w:szCs w:val="22"/>
                <w:lang w:eastAsia="en-US"/>
              </w:rPr>
              <w:t xml:space="preserve">Тел.: </w:t>
            </w:r>
          </w:p>
          <w:p w:rsidR="00E8733E" w:rsidRDefault="00E8733E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AC750F">
              <w:rPr>
                <w:sz w:val="22"/>
                <w:szCs w:val="22"/>
                <w:lang w:val="en-US" w:eastAsia="en-US"/>
              </w:rPr>
              <w:t>e</w:t>
            </w:r>
            <w:r w:rsidRPr="00AC750F">
              <w:rPr>
                <w:sz w:val="22"/>
                <w:szCs w:val="22"/>
                <w:lang w:eastAsia="en-US"/>
              </w:rPr>
              <w:t>-</w:t>
            </w:r>
            <w:r w:rsidRPr="00AC750F">
              <w:rPr>
                <w:sz w:val="22"/>
                <w:szCs w:val="22"/>
                <w:lang w:val="en-US" w:eastAsia="en-US"/>
              </w:rPr>
              <w:t>mail</w:t>
            </w:r>
            <w:r w:rsidRPr="00AC750F">
              <w:rPr>
                <w:sz w:val="22"/>
                <w:szCs w:val="22"/>
                <w:lang w:eastAsia="en-US"/>
              </w:rPr>
              <w:t>:</w:t>
            </w:r>
          </w:p>
          <w:p w:rsidR="00E8733E" w:rsidRPr="006231B2" w:rsidRDefault="00E8733E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0899" w:rsidRPr="0089599A" w:rsidRDefault="000D0899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E8733E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1E6F3E" w:rsidP="005730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8733E" w:rsidRPr="0089599A" w:rsidRDefault="00E8733E" w:rsidP="00E8733E">
      <w:pPr>
        <w:tabs>
          <w:tab w:val="left" w:pos="4417"/>
        </w:tabs>
        <w:rPr>
          <w:i/>
          <w:sz w:val="20"/>
          <w:szCs w:val="20"/>
        </w:rPr>
      </w:pPr>
      <w:r w:rsidRPr="0017182B">
        <w:rPr>
          <w:i/>
          <w:sz w:val="20"/>
          <w:szCs w:val="20"/>
        </w:rPr>
        <w:t>*ФИО и Подпись Специалиста</w:t>
      </w: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6231B2" w:rsidRDefault="006231B2" w:rsidP="005F65A2">
      <w:pPr>
        <w:tabs>
          <w:tab w:val="left" w:pos="4417"/>
        </w:tabs>
        <w:rPr>
          <w:i/>
          <w:sz w:val="20"/>
          <w:szCs w:val="20"/>
        </w:rPr>
      </w:pPr>
    </w:p>
    <w:p w:rsidR="006231B2" w:rsidRDefault="006231B2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7605E3" w:rsidRDefault="007605E3" w:rsidP="005F65A2">
      <w:pPr>
        <w:tabs>
          <w:tab w:val="left" w:pos="4417"/>
        </w:tabs>
        <w:rPr>
          <w:i/>
          <w:sz w:val="20"/>
          <w:szCs w:val="20"/>
        </w:rPr>
      </w:pPr>
    </w:p>
    <w:p w:rsidR="00B55CBA" w:rsidRPr="0089599A" w:rsidRDefault="00B55CBA" w:rsidP="005F65A2">
      <w:pPr>
        <w:tabs>
          <w:tab w:val="left" w:pos="4417"/>
        </w:tabs>
        <w:rPr>
          <w:i/>
          <w:sz w:val="20"/>
          <w:szCs w:val="20"/>
        </w:r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AB33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162B0B"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 w:rsidR="000D0899">
        <w:rPr>
          <w:rFonts w:ascii="Times New Roman" w:hAnsi="Times New Roman" w:cs="Times New Roman"/>
          <w:color w:val="000000" w:themeColor="text1"/>
          <w:sz w:val="22"/>
          <w:szCs w:val="22"/>
        </w:rPr>
        <w:t>/ТКО</w:t>
      </w:r>
      <w:r w:rsidR="007661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</w:t>
      </w:r>
      <w:r w:rsidR="00162B0B"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 w:rsidR="001E6F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1" w:name="P329"/>
      <w:bookmarkEnd w:id="1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380"/>
        <w:gridCol w:w="1418"/>
        <w:gridCol w:w="1559"/>
        <w:gridCol w:w="1267"/>
        <w:gridCol w:w="1661"/>
        <w:gridCol w:w="1316"/>
        <w:gridCol w:w="1741"/>
      </w:tblGrid>
      <w:tr w:rsidR="00CC2108" w:rsidRPr="009B2E77" w:rsidTr="00436800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5B5DC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C2108" w:rsidRDefault="00CC2108" w:rsidP="00CC2108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объекта Потребителя</w:t>
            </w:r>
          </w:p>
          <w:p w:rsidR="00CC2108" w:rsidRDefault="00CC2108" w:rsidP="00CC2108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  <w:p w:rsidR="00CC2108" w:rsidRDefault="00CC2108" w:rsidP="00CC2108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CC2108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5CBA" w:rsidRPr="005B5DCE" w:rsidRDefault="00B55CBA" w:rsidP="000D0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5B5DCE" w:rsidRDefault="00CC2108" w:rsidP="00623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0D0899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C2108" w:rsidRPr="000D0899" w:rsidRDefault="00CC2108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733E" w:rsidRPr="005B5DCE" w:rsidRDefault="00E8733E" w:rsidP="00E87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2108" w:rsidRPr="005B5DCE" w:rsidRDefault="00CC2108" w:rsidP="003822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C2108" w:rsidRPr="00AF667A" w:rsidRDefault="000D0899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2108" w:rsidRPr="00AF667A" w:rsidRDefault="000D0899" w:rsidP="00CC2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графику вывоза общественной КП</w:t>
            </w: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6231B2" w:rsidRDefault="006231B2" w:rsidP="003822EB">
            <w:pPr>
              <w:pStyle w:val="ConsPlusNormal"/>
              <w:jc w:val="center"/>
              <w:outlineLvl w:val="2"/>
              <w:rPr>
                <w:noProof/>
              </w:rPr>
            </w:pPr>
          </w:p>
          <w:p w:rsidR="00E8733E" w:rsidRDefault="00E8733E" w:rsidP="003822EB">
            <w:pPr>
              <w:pStyle w:val="ConsPlusNormal"/>
              <w:jc w:val="center"/>
              <w:outlineLvl w:val="2"/>
              <w:rPr>
                <w:noProof/>
              </w:rPr>
            </w:pPr>
          </w:p>
          <w:p w:rsidR="00E8733E" w:rsidRDefault="00E8733E" w:rsidP="003822EB">
            <w:pPr>
              <w:pStyle w:val="ConsPlusNormal"/>
              <w:jc w:val="center"/>
              <w:outlineLvl w:val="2"/>
              <w:rPr>
                <w:noProof/>
              </w:rPr>
            </w:pPr>
          </w:p>
          <w:p w:rsidR="00E8733E" w:rsidRDefault="00E8733E" w:rsidP="003822EB">
            <w:pPr>
              <w:pStyle w:val="ConsPlusNormal"/>
              <w:jc w:val="center"/>
              <w:outlineLvl w:val="2"/>
              <w:rPr>
                <w:noProof/>
              </w:rPr>
            </w:pPr>
          </w:p>
          <w:p w:rsidR="00E8733E" w:rsidRPr="009B2E77" w:rsidRDefault="00E8733E" w:rsidP="003822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3"/>
        <w:gridCol w:w="4871"/>
      </w:tblGrid>
      <w:tr w:rsidR="00B55CBA" w:rsidRPr="009B2E77" w:rsidTr="000D0899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5B5DCE" w:rsidRDefault="00B55CBA" w:rsidP="0020689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5B5DCE" w:rsidRDefault="00B55CBA" w:rsidP="0020689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B55CBA" w:rsidRPr="009B2E77" w:rsidTr="000D0899">
        <w:trPr>
          <w:trHeight w:val="1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5B5DCE" w:rsidRDefault="00B55CBA" w:rsidP="002068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B55CBA" w:rsidRDefault="00B55CBA" w:rsidP="0020689D">
            <w:pPr>
              <w:rPr>
                <w:sz w:val="22"/>
                <w:szCs w:val="22"/>
                <w:lang w:eastAsia="en-US"/>
              </w:rPr>
            </w:pPr>
          </w:p>
          <w:p w:rsidR="0017182B" w:rsidRDefault="0017182B" w:rsidP="0020689D">
            <w:pPr>
              <w:jc w:val="center"/>
              <w:rPr>
                <w:lang w:eastAsia="en-US"/>
              </w:rPr>
            </w:pPr>
          </w:p>
          <w:p w:rsidR="0017182B" w:rsidRDefault="0017182B" w:rsidP="0020689D">
            <w:pPr>
              <w:jc w:val="center"/>
              <w:rPr>
                <w:lang w:eastAsia="en-US"/>
              </w:rPr>
            </w:pPr>
          </w:p>
          <w:p w:rsidR="00B55CBA" w:rsidRDefault="00B55CBA" w:rsidP="0020689D">
            <w:pPr>
              <w:jc w:val="center"/>
              <w:rPr>
                <w:lang w:eastAsia="en-US"/>
              </w:rPr>
            </w:pPr>
            <w:r w:rsidRPr="00515A52">
              <w:rPr>
                <w:lang w:eastAsia="en-US"/>
              </w:rPr>
              <w:t xml:space="preserve">____________________ </w:t>
            </w:r>
            <w:r w:rsidR="0017182B">
              <w:rPr>
                <w:lang w:eastAsia="en-US"/>
              </w:rPr>
              <w:t>/_____________</w:t>
            </w:r>
            <w:r w:rsidRPr="00515A52">
              <w:rPr>
                <w:lang w:eastAsia="en-US"/>
              </w:rPr>
              <w:t>/</w:t>
            </w:r>
          </w:p>
          <w:p w:rsidR="00B55CBA" w:rsidRPr="005B5DCE" w:rsidRDefault="00B55CBA" w:rsidP="0020689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B55CBA" w:rsidRPr="005B5DCE" w:rsidRDefault="00B55CBA" w:rsidP="0020689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</w:t>
            </w:r>
            <w:r>
              <w:rPr>
                <w:sz w:val="22"/>
                <w:szCs w:val="22"/>
                <w:lang w:eastAsia="en-US"/>
              </w:rPr>
              <w:t xml:space="preserve">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Default="00B55CBA" w:rsidP="0020689D">
            <w:pPr>
              <w:jc w:val="center"/>
              <w:rPr>
                <w:b/>
                <w:sz w:val="22"/>
                <w:szCs w:val="16"/>
                <w:lang w:eastAsia="en-US"/>
              </w:rPr>
            </w:pPr>
            <w:r w:rsidRPr="00B55CBA">
              <w:rPr>
                <w:b/>
                <w:sz w:val="22"/>
                <w:szCs w:val="16"/>
                <w:lang w:eastAsia="en-US"/>
              </w:rPr>
              <w:t xml:space="preserve">Индивидуальный предприниматель </w:t>
            </w:r>
          </w:p>
          <w:p w:rsidR="006231B2" w:rsidRPr="006231B2" w:rsidRDefault="006231B2" w:rsidP="00623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55CBA" w:rsidRDefault="00B55CBA" w:rsidP="0020689D">
            <w:pPr>
              <w:rPr>
                <w:sz w:val="22"/>
                <w:szCs w:val="22"/>
                <w:lang w:eastAsia="en-US"/>
              </w:rPr>
            </w:pPr>
          </w:p>
          <w:p w:rsidR="00B55CBA" w:rsidRPr="005B5DCE" w:rsidRDefault="00B55CBA" w:rsidP="0020689D">
            <w:pPr>
              <w:rPr>
                <w:sz w:val="22"/>
                <w:szCs w:val="22"/>
                <w:lang w:eastAsia="en-US"/>
              </w:rPr>
            </w:pPr>
          </w:p>
          <w:p w:rsidR="006231B2" w:rsidRDefault="006231B2" w:rsidP="006231B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__________________/</w:t>
            </w:r>
            <w:r w:rsidR="00E8733E">
              <w:rPr>
                <w:sz w:val="22"/>
                <w:szCs w:val="22"/>
                <w:lang w:eastAsia="en-US"/>
              </w:rPr>
              <w:t>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55CBA" w:rsidRPr="005B5DCE" w:rsidRDefault="00B55CBA" w:rsidP="0020689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B55CBA" w:rsidRPr="005B5DCE" w:rsidRDefault="00B55CBA" w:rsidP="0020689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B55CBA" w:rsidRPr="005B5DCE" w:rsidRDefault="00B55CBA" w:rsidP="00206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5CBA" w:rsidRPr="009B2E77" w:rsidTr="000D0899">
        <w:trPr>
          <w:trHeight w:val="155"/>
        </w:trPr>
        <w:tc>
          <w:tcPr>
            <w:tcW w:w="5043" w:type="dxa"/>
            <w:shd w:val="clear" w:color="auto" w:fill="auto"/>
          </w:tcPr>
          <w:p w:rsidR="00B55CBA" w:rsidRPr="009B2E77" w:rsidRDefault="00E8733E" w:rsidP="00E8733E">
            <w:pPr>
              <w:tabs>
                <w:tab w:val="left" w:pos="4417"/>
              </w:tabs>
            </w:pPr>
            <w:r w:rsidRPr="0017182B">
              <w:rPr>
                <w:i/>
                <w:sz w:val="20"/>
                <w:szCs w:val="20"/>
              </w:rPr>
              <w:t>*ФИО и Подпись Специалиста</w:t>
            </w:r>
          </w:p>
        </w:tc>
        <w:tc>
          <w:tcPr>
            <w:tcW w:w="4871" w:type="dxa"/>
            <w:shd w:val="clear" w:color="auto" w:fill="auto"/>
          </w:tcPr>
          <w:p w:rsidR="00B55CBA" w:rsidRPr="009B2E77" w:rsidRDefault="00B55CBA" w:rsidP="0020689D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1E6F3E" w:rsidRDefault="001E6F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E8733E" w:rsidRDefault="00E8733E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3822EB" w:rsidRDefault="003822EB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0626B4" w:rsidRDefault="000626B4" w:rsidP="000626B4">
      <w:pPr>
        <w:widowControl w:val="0"/>
        <w:jc w:val="center"/>
        <w:outlineLvl w:val="2"/>
        <w:rPr>
          <w:b/>
          <w:sz w:val="22"/>
          <w:szCs w:val="22"/>
        </w:rPr>
      </w:pPr>
      <w:r w:rsidRPr="00F037ED">
        <w:rPr>
          <w:b/>
          <w:sz w:val="22"/>
          <w:szCs w:val="22"/>
        </w:rPr>
        <w:t>III. Виды твердых коммунальных отходов, передаваемых по договору</w:t>
      </w:r>
    </w:p>
    <w:p w:rsidR="000626B4" w:rsidRPr="00F037ED" w:rsidRDefault="000626B4" w:rsidP="000626B4">
      <w:pPr>
        <w:widowControl w:val="0"/>
        <w:jc w:val="center"/>
        <w:outlineLvl w:val="2"/>
        <w:rPr>
          <w:b/>
          <w:sz w:val="22"/>
          <w:szCs w:val="22"/>
        </w:rPr>
      </w:pPr>
    </w:p>
    <w:p w:rsidR="000626B4" w:rsidRPr="00F037ED" w:rsidRDefault="000626B4" w:rsidP="000626B4">
      <w:pPr>
        <w:widowControl w:val="0"/>
        <w:outlineLvl w:val="2"/>
        <w:rPr>
          <w:b/>
          <w:sz w:val="22"/>
          <w:szCs w:val="22"/>
        </w:rPr>
      </w:pPr>
    </w:p>
    <w:tbl>
      <w:tblPr>
        <w:tblW w:w="10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5774"/>
        <w:gridCol w:w="4394"/>
      </w:tblGrid>
      <w:tr w:rsidR="000626B4" w:rsidRPr="00F037ED" w:rsidTr="00B55CBA">
        <w:trPr>
          <w:trHeight w:val="55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26B4" w:rsidRPr="00F037ED" w:rsidRDefault="000626B4" w:rsidP="008F00B6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N п/п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26B4" w:rsidRPr="00F037ED" w:rsidRDefault="000626B4" w:rsidP="008F00B6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26B4" w:rsidRPr="00F037ED" w:rsidRDefault="000626B4" w:rsidP="008F00B6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Код по ФККО</w:t>
            </w:r>
          </w:p>
        </w:tc>
      </w:tr>
      <w:tr w:rsidR="003822EB" w:rsidRPr="00F037ED" w:rsidTr="00DB02C3">
        <w:trPr>
          <w:trHeight w:val="123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822EB" w:rsidRPr="00F037ED" w:rsidRDefault="003822EB" w:rsidP="003822EB">
            <w:pPr>
              <w:widowControl w:val="0"/>
              <w:jc w:val="center"/>
              <w:rPr>
                <w:sz w:val="22"/>
                <w:szCs w:val="22"/>
              </w:rPr>
            </w:pPr>
            <w:bookmarkStart w:id="2" w:name="Приложение1Часть3"/>
            <w:r w:rsidRPr="00F037ED">
              <w:rPr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EB" w:rsidRPr="003822EB" w:rsidRDefault="003822EB" w:rsidP="003822EB">
            <w:pPr>
              <w:jc w:val="center"/>
              <w:rPr>
                <w:color w:val="000000"/>
                <w:sz w:val="22"/>
                <w:szCs w:val="22"/>
              </w:rPr>
            </w:pPr>
            <w:r w:rsidRPr="003822EB">
              <w:rPr>
                <w:color w:val="000000"/>
                <w:sz w:val="22"/>
                <w:szCs w:val="22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EB" w:rsidRPr="003822EB" w:rsidRDefault="003822EB" w:rsidP="003822EB">
            <w:pPr>
              <w:jc w:val="center"/>
              <w:rPr>
                <w:color w:val="000000"/>
                <w:sz w:val="22"/>
                <w:szCs w:val="22"/>
              </w:rPr>
            </w:pPr>
            <w:r w:rsidRPr="003822EB">
              <w:rPr>
                <w:color w:val="000000"/>
                <w:sz w:val="22"/>
                <w:szCs w:val="22"/>
              </w:rPr>
              <w:t>73310002725</w:t>
            </w:r>
          </w:p>
        </w:tc>
        <w:bookmarkEnd w:id="2"/>
      </w:tr>
    </w:tbl>
    <w:p w:rsidR="000626B4" w:rsidRDefault="000626B4" w:rsidP="000626B4">
      <w:pPr>
        <w:widowControl w:val="0"/>
        <w:jc w:val="center"/>
        <w:rPr>
          <w:sz w:val="22"/>
          <w:szCs w:val="22"/>
        </w:rPr>
      </w:pPr>
    </w:p>
    <w:p w:rsidR="00B55CBA" w:rsidRPr="00F037ED" w:rsidRDefault="00B55CBA" w:rsidP="000626B4">
      <w:pPr>
        <w:widowControl w:val="0"/>
        <w:jc w:val="center"/>
        <w:rPr>
          <w:sz w:val="22"/>
          <w:szCs w:val="22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873"/>
      </w:tblGrid>
      <w:tr w:rsidR="000626B4" w:rsidRPr="009B2E77" w:rsidTr="008F00B6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4" w:rsidRPr="005B5DCE" w:rsidRDefault="000626B4" w:rsidP="008F00B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4" w:rsidRPr="005B5DCE" w:rsidRDefault="000626B4" w:rsidP="008F00B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0626B4" w:rsidRPr="009B2E77" w:rsidTr="008F00B6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4" w:rsidRPr="005B5DCE" w:rsidRDefault="000626B4" w:rsidP="008F00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0626B4" w:rsidRDefault="000626B4" w:rsidP="008F00B6">
            <w:pPr>
              <w:rPr>
                <w:sz w:val="22"/>
                <w:szCs w:val="22"/>
                <w:lang w:eastAsia="en-US"/>
              </w:rPr>
            </w:pPr>
          </w:p>
          <w:p w:rsidR="0017182B" w:rsidRDefault="0017182B" w:rsidP="00B55CBA">
            <w:pPr>
              <w:jc w:val="center"/>
              <w:rPr>
                <w:lang w:eastAsia="en-US"/>
              </w:rPr>
            </w:pPr>
          </w:p>
          <w:p w:rsidR="0017182B" w:rsidRDefault="0017182B" w:rsidP="00B55CBA">
            <w:pPr>
              <w:jc w:val="center"/>
              <w:rPr>
                <w:lang w:eastAsia="en-US"/>
              </w:rPr>
            </w:pPr>
          </w:p>
          <w:p w:rsidR="00B55CBA" w:rsidRDefault="00B55CBA" w:rsidP="00B55CBA">
            <w:pPr>
              <w:jc w:val="center"/>
              <w:rPr>
                <w:lang w:eastAsia="en-US"/>
              </w:rPr>
            </w:pPr>
            <w:r w:rsidRPr="00515A52">
              <w:rPr>
                <w:lang w:eastAsia="en-US"/>
              </w:rPr>
              <w:t>____________________ /</w:t>
            </w:r>
            <w:r w:rsidR="0017182B">
              <w:rPr>
                <w:lang w:eastAsia="en-US"/>
              </w:rPr>
              <w:t>________________</w:t>
            </w:r>
            <w:r w:rsidRPr="00515A52">
              <w:rPr>
                <w:lang w:eastAsia="en-US"/>
              </w:rPr>
              <w:t>/</w:t>
            </w:r>
          </w:p>
          <w:p w:rsidR="000626B4" w:rsidRPr="005B5DCE" w:rsidRDefault="000626B4" w:rsidP="008F00B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0626B4" w:rsidRPr="005B5DCE" w:rsidRDefault="000626B4" w:rsidP="001E6F3E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</w:t>
            </w:r>
            <w:r w:rsidR="001E6F3E">
              <w:rPr>
                <w:sz w:val="22"/>
                <w:szCs w:val="22"/>
                <w:lang w:eastAsia="en-US"/>
              </w:rPr>
              <w:t xml:space="preserve">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 w:rsidR="001E6F3E">
              <w:rPr>
                <w:sz w:val="22"/>
                <w:szCs w:val="22"/>
                <w:lang w:eastAsia="en-US"/>
              </w:rPr>
              <w:t xml:space="preserve"> 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EB" w:rsidRDefault="003822EB" w:rsidP="003822EB">
            <w:pPr>
              <w:jc w:val="center"/>
              <w:rPr>
                <w:b/>
                <w:sz w:val="22"/>
                <w:szCs w:val="16"/>
                <w:lang w:eastAsia="en-US"/>
              </w:rPr>
            </w:pPr>
            <w:r w:rsidRPr="00B55CBA">
              <w:rPr>
                <w:b/>
                <w:sz w:val="22"/>
                <w:szCs w:val="16"/>
                <w:lang w:eastAsia="en-US"/>
              </w:rPr>
              <w:t xml:space="preserve">Индивидуальный предприниматель </w:t>
            </w:r>
          </w:p>
          <w:p w:rsidR="003822EB" w:rsidRPr="006231B2" w:rsidRDefault="003822EB" w:rsidP="003822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22EB" w:rsidRDefault="003822EB" w:rsidP="003822EB">
            <w:pPr>
              <w:rPr>
                <w:sz w:val="22"/>
                <w:szCs w:val="22"/>
                <w:lang w:eastAsia="en-US"/>
              </w:rPr>
            </w:pPr>
          </w:p>
          <w:p w:rsidR="003822EB" w:rsidRPr="005B5DCE" w:rsidRDefault="003822EB" w:rsidP="003822EB">
            <w:pPr>
              <w:rPr>
                <w:sz w:val="22"/>
                <w:szCs w:val="22"/>
                <w:lang w:eastAsia="en-US"/>
              </w:rPr>
            </w:pPr>
          </w:p>
          <w:p w:rsidR="003822EB" w:rsidRDefault="003822EB" w:rsidP="003822EB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__________________/</w:t>
            </w:r>
            <w:r w:rsidR="00E8733E">
              <w:rPr>
                <w:sz w:val="22"/>
                <w:szCs w:val="22"/>
                <w:lang w:eastAsia="en-US"/>
              </w:rPr>
              <w:t>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3822EB" w:rsidRPr="005B5DCE" w:rsidRDefault="003822EB" w:rsidP="003822E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3822EB" w:rsidRPr="005B5DCE" w:rsidRDefault="003822EB" w:rsidP="003822EB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 xml:space="preserve">«_____» _______________ </w:t>
            </w:r>
            <w:r w:rsidR="00162B0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0626B4" w:rsidRPr="005B5DCE" w:rsidRDefault="000626B4" w:rsidP="008F00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26B4" w:rsidRPr="009B2E77" w:rsidTr="008F00B6">
        <w:trPr>
          <w:trHeight w:val="155"/>
        </w:trPr>
        <w:tc>
          <w:tcPr>
            <w:tcW w:w="5047" w:type="dxa"/>
            <w:shd w:val="clear" w:color="auto" w:fill="auto"/>
          </w:tcPr>
          <w:p w:rsidR="000626B4" w:rsidRPr="009B2E77" w:rsidRDefault="00E8733E" w:rsidP="00E8733E">
            <w:pPr>
              <w:tabs>
                <w:tab w:val="left" w:pos="4417"/>
              </w:tabs>
            </w:pPr>
            <w:bookmarkStart w:id="3" w:name="_GoBack"/>
            <w:bookmarkEnd w:id="3"/>
            <w:r w:rsidRPr="0017182B">
              <w:rPr>
                <w:i/>
                <w:sz w:val="20"/>
                <w:szCs w:val="20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0626B4" w:rsidRPr="009B2E77" w:rsidRDefault="000626B4" w:rsidP="008F00B6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0626B4" w:rsidRDefault="000626B4" w:rsidP="000626B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0626B4" w:rsidRPr="00F037ED" w:rsidRDefault="000626B4" w:rsidP="000626B4">
      <w:pPr>
        <w:widowControl w:val="0"/>
        <w:jc w:val="center"/>
        <w:rPr>
          <w:sz w:val="22"/>
          <w:szCs w:val="22"/>
        </w:rPr>
      </w:pPr>
    </w:p>
    <w:p w:rsidR="000626B4" w:rsidRPr="00F037ED" w:rsidRDefault="000626B4" w:rsidP="000626B4">
      <w:pPr>
        <w:widowControl w:val="0"/>
        <w:jc w:val="center"/>
        <w:rPr>
          <w:sz w:val="22"/>
          <w:szCs w:val="22"/>
        </w:rPr>
      </w:pPr>
    </w:p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17182B">
          <w:rPr>
            <w:noProof/>
            <w:sz w:val="20"/>
            <w:szCs w:val="20"/>
          </w:rPr>
          <w:t>5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626B4"/>
    <w:rsid w:val="00093810"/>
    <w:rsid w:val="00097B9D"/>
    <w:rsid w:val="000D0899"/>
    <w:rsid w:val="000D2756"/>
    <w:rsid w:val="000D75BB"/>
    <w:rsid w:val="000E700C"/>
    <w:rsid w:val="000F5284"/>
    <w:rsid w:val="00103408"/>
    <w:rsid w:val="0014234E"/>
    <w:rsid w:val="00143A77"/>
    <w:rsid w:val="00147FE7"/>
    <w:rsid w:val="00162B0B"/>
    <w:rsid w:val="00163D82"/>
    <w:rsid w:val="0016403A"/>
    <w:rsid w:val="00171702"/>
    <w:rsid w:val="0017182B"/>
    <w:rsid w:val="0019549F"/>
    <w:rsid w:val="00197822"/>
    <w:rsid w:val="001A2E9F"/>
    <w:rsid w:val="001A41B2"/>
    <w:rsid w:val="001B3DA6"/>
    <w:rsid w:val="001B7E58"/>
    <w:rsid w:val="001C42E7"/>
    <w:rsid w:val="001D0E5F"/>
    <w:rsid w:val="001E6F3E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822EB"/>
    <w:rsid w:val="00397EF4"/>
    <w:rsid w:val="003D1ACE"/>
    <w:rsid w:val="003E0359"/>
    <w:rsid w:val="003E1CF2"/>
    <w:rsid w:val="003E294C"/>
    <w:rsid w:val="003E6F90"/>
    <w:rsid w:val="00411095"/>
    <w:rsid w:val="00411CE5"/>
    <w:rsid w:val="0042423C"/>
    <w:rsid w:val="004405B9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4F69EA"/>
    <w:rsid w:val="00502222"/>
    <w:rsid w:val="005252CB"/>
    <w:rsid w:val="005450AC"/>
    <w:rsid w:val="005455EA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231B2"/>
    <w:rsid w:val="00637DEF"/>
    <w:rsid w:val="00641F58"/>
    <w:rsid w:val="00651758"/>
    <w:rsid w:val="006521BD"/>
    <w:rsid w:val="006521C2"/>
    <w:rsid w:val="0066161E"/>
    <w:rsid w:val="00666DDC"/>
    <w:rsid w:val="00667284"/>
    <w:rsid w:val="00682FD6"/>
    <w:rsid w:val="0069153D"/>
    <w:rsid w:val="006A5557"/>
    <w:rsid w:val="006B4A21"/>
    <w:rsid w:val="006D6CF3"/>
    <w:rsid w:val="00731A04"/>
    <w:rsid w:val="0073540C"/>
    <w:rsid w:val="007605E3"/>
    <w:rsid w:val="00766146"/>
    <w:rsid w:val="007759B6"/>
    <w:rsid w:val="007A1A4B"/>
    <w:rsid w:val="007A2775"/>
    <w:rsid w:val="007B11CD"/>
    <w:rsid w:val="007C2CBA"/>
    <w:rsid w:val="007D6412"/>
    <w:rsid w:val="007F2FE7"/>
    <w:rsid w:val="00805686"/>
    <w:rsid w:val="00813B62"/>
    <w:rsid w:val="008260E0"/>
    <w:rsid w:val="00827B9E"/>
    <w:rsid w:val="008316E1"/>
    <w:rsid w:val="0084491D"/>
    <w:rsid w:val="008464FA"/>
    <w:rsid w:val="00852F9C"/>
    <w:rsid w:val="00860427"/>
    <w:rsid w:val="008649A6"/>
    <w:rsid w:val="00894B61"/>
    <w:rsid w:val="0089599A"/>
    <w:rsid w:val="008C197C"/>
    <w:rsid w:val="008D4749"/>
    <w:rsid w:val="008F2419"/>
    <w:rsid w:val="008F76E2"/>
    <w:rsid w:val="009076EC"/>
    <w:rsid w:val="00915E77"/>
    <w:rsid w:val="00925B6D"/>
    <w:rsid w:val="009271C6"/>
    <w:rsid w:val="00991FAA"/>
    <w:rsid w:val="00996CB9"/>
    <w:rsid w:val="009B2E77"/>
    <w:rsid w:val="009D2636"/>
    <w:rsid w:val="009E4BAC"/>
    <w:rsid w:val="00A10586"/>
    <w:rsid w:val="00A1465F"/>
    <w:rsid w:val="00A3249D"/>
    <w:rsid w:val="00AA210E"/>
    <w:rsid w:val="00AA3FDD"/>
    <w:rsid w:val="00AA6B6E"/>
    <w:rsid w:val="00AB0AF5"/>
    <w:rsid w:val="00AB3327"/>
    <w:rsid w:val="00AC750F"/>
    <w:rsid w:val="00AD692B"/>
    <w:rsid w:val="00AF1400"/>
    <w:rsid w:val="00AF667A"/>
    <w:rsid w:val="00B05714"/>
    <w:rsid w:val="00B20D99"/>
    <w:rsid w:val="00B26552"/>
    <w:rsid w:val="00B31EA4"/>
    <w:rsid w:val="00B35332"/>
    <w:rsid w:val="00B37C86"/>
    <w:rsid w:val="00B37D15"/>
    <w:rsid w:val="00B45A93"/>
    <w:rsid w:val="00B55CBA"/>
    <w:rsid w:val="00B65297"/>
    <w:rsid w:val="00BA4B05"/>
    <w:rsid w:val="00BC3F16"/>
    <w:rsid w:val="00BD0623"/>
    <w:rsid w:val="00BE6521"/>
    <w:rsid w:val="00BF75C1"/>
    <w:rsid w:val="00C07F91"/>
    <w:rsid w:val="00C22458"/>
    <w:rsid w:val="00C4298B"/>
    <w:rsid w:val="00C573BA"/>
    <w:rsid w:val="00C6483D"/>
    <w:rsid w:val="00C6591F"/>
    <w:rsid w:val="00C7090F"/>
    <w:rsid w:val="00C9426B"/>
    <w:rsid w:val="00C9592E"/>
    <w:rsid w:val="00CC2108"/>
    <w:rsid w:val="00CE1800"/>
    <w:rsid w:val="00CE75D9"/>
    <w:rsid w:val="00CE78D9"/>
    <w:rsid w:val="00CF29D0"/>
    <w:rsid w:val="00D05A1A"/>
    <w:rsid w:val="00D101DC"/>
    <w:rsid w:val="00D17FC1"/>
    <w:rsid w:val="00D41001"/>
    <w:rsid w:val="00D43D42"/>
    <w:rsid w:val="00D4519A"/>
    <w:rsid w:val="00D763FD"/>
    <w:rsid w:val="00D87085"/>
    <w:rsid w:val="00D910B9"/>
    <w:rsid w:val="00DB1298"/>
    <w:rsid w:val="00DE249D"/>
    <w:rsid w:val="00DF6C09"/>
    <w:rsid w:val="00E1324D"/>
    <w:rsid w:val="00E76F1E"/>
    <w:rsid w:val="00E77C89"/>
    <w:rsid w:val="00E8733E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51C1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AF10-E427-4BBA-85E2-320330A8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</cp:revision>
  <cp:lastPrinted>2019-03-21T05:18:00Z</cp:lastPrinted>
  <dcterms:created xsi:type="dcterms:W3CDTF">2022-11-01T14:20:00Z</dcterms:created>
  <dcterms:modified xsi:type="dcterms:W3CDTF">2023-01-23T13:05:00Z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